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602B3A">
      <w:pPr>
        <w:pStyle w:val="Default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Bank of Beijing </w:t>
      </w:r>
      <w:r>
        <w:rPr>
          <w:rFonts w:ascii="Times New Roman" w:hAnsi="Times New Roman"/>
          <w:b/>
          <w:sz w:val="56"/>
        </w:rPr>
        <w:t xml:space="preserve">Financial Service Scheme for Foreign Talents </w:t>
      </w: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133771">
      <w:pPr>
        <w:pStyle w:val="Default"/>
        <w:rPr>
          <w:rFonts w:ascii="Times New Roman" w:hAnsi="Times New Roman" w:cs="Times New Roman"/>
        </w:rPr>
      </w:pPr>
    </w:p>
    <w:p w:rsidR="00133771" w:rsidRDefault="00602B3A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>ank of Beijing</w:t>
      </w:r>
    </w:p>
    <w:p w:rsidR="00133771" w:rsidRDefault="00602B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>pril 2019</w:t>
      </w:r>
    </w:p>
    <w:p w:rsidR="00133771" w:rsidRDefault="001337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771" w:rsidRDefault="00602B3A">
      <w:pPr>
        <w:widowControl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br w:type="page"/>
      </w:r>
    </w:p>
    <w:p w:rsidR="00133771" w:rsidRDefault="00602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lastRenderedPageBreak/>
        <w:t xml:space="preserve">Bank of Beijing provides comprehensive, convenient and safe one-stop financial services for foreign talents, including credit card application, debit card issuance, foreign currency deposit, </w:t>
      </w:r>
      <w:bookmarkStart w:id="0" w:name="_Hlk77188906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foreign exchange settlement and sale</w:t>
      </w:r>
      <w:bookmarkEnd w:id="0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, cross-border remittance of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foreign currency, etc. Covering da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y-to-day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consumption, wage payment, purchase and remittance of foreign currency, and wealth management, Bank of Beijing provides customers with high-quality packaged domestic financial services.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I. Credit card ap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plication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proofErr w:type="spellStart"/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Product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recommendation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5D030E" wp14:editId="7D4AF099">
            <wp:extent cx="4409440" cy="1418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71" w:rsidRDefault="00602B3A">
      <w:pPr>
        <w:tabs>
          <w:tab w:val="left" w:pos="196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In order to meet foreign talents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' needs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for the use of cards in China,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Bank of Beijing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provide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a combination of a </w:t>
      </w:r>
      <w:proofErr w:type="spellStart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UnionPay</w:t>
      </w:r>
      <w:proofErr w:type="spellEnd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debit card and an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nternational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debit c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ard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(VISA card). The </w:t>
      </w:r>
      <w:proofErr w:type="spellStart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UnionPay</w:t>
      </w:r>
      <w:proofErr w:type="spellEnd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debit card is mainly used for domestic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income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in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RMB, automatic repayment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for associated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credit card, purchase and remittance of foreign currency,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and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da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y-to-day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consumption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etc.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T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he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nternational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debit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c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ard is used for foreign exchange settlement and sale, foreign currency deposits with differentiated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lastRenderedPageBreak/>
        <w:t xml:space="preserve">pricing, cross-border remittance,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overseas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consumption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and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cash withdrawal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, etc.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ii.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Appli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cation materials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Identity document: Valid passport or Foreigner’s Permanent Residence Certificate.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iii.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Bank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of Beijing outlets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Any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Bank of Beijing outlets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in Beijing.</w:t>
      </w:r>
      <w:proofErr w:type="gramEnd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Hotline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95526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is available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for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further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consultation.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iv.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Application procedure</w:t>
      </w:r>
    </w:p>
    <w:p w:rsidR="00133771" w:rsidRDefault="00602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1. In-person card application (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individual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application for a single card): The applicant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may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apply for a Bank of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Beijing debit card at any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outlet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of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the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bank in Beijing with his/her valid passport or Foreigner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'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s Permanent Residence Certificate.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The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bank will issue a debit card after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the applicant completes tax declaration and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authenticity and validity of the card app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lication materials are verified.</w:t>
      </w:r>
    </w:p>
    <w:p w:rsidR="00133771" w:rsidRDefault="00602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. Entrusted card application: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The applicant may entrust others to apply for a debit card on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his/her behalf in case that he/she is not able to be present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in person for special reasons. The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entrusted persona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shall present original valid identity documents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of 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his/her own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and the applicant, along with the legal written power of attorney to apply for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the card. Debit cards applied for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lastRenderedPageBreak/>
        <w:t>in this manner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will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remain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in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activ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e until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the cardholder go through activation procedures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with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the card and valid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identity documents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at any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outlet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of Bank of Beijing.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II. Credit card application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(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I) Product 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recommendation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FD067B" wp14:editId="0BEE81EA">
            <wp:extent cx="4390390" cy="13900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71" w:rsidRDefault="00602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I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n order to meet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their needs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for the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domestic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use of cards,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ank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of Beijing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provides a </w:t>
      </w:r>
      <w:proofErr w:type="spellStart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UnionPay</w:t>
      </w:r>
      <w:proofErr w:type="spellEnd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standard platinum credit card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for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high-end f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oreign talents (Class A).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This credit card will include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such exclusive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benefits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as lifetime exemption from annual fees, guaranteed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CNY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50,000 for lost cards within 72 hours and credit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points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for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online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consumptio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n, thereby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catering to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foreign talents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'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da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y-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to-day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consumption in China.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(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II) Application materials and line of credit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. Application materials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(1) Valid passport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of the applicant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;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(2) Residence Permit for Foreigners in Beijing;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(3) Foreigner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'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s Work Permit (Class A) issued by Beijing Municipal Administration of Foreign Experts Affairs; and</w:t>
      </w:r>
    </w:p>
    <w:p w:rsidR="00133771" w:rsidRDefault="00A50867">
      <w:pPr>
        <w:tabs>
          <w:tab w:val="left" w:pos="113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 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(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4) Declaration of Personal Tax Resident Status (to be completed when applying for cards).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. Line of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credit</w:t>
      </w:r>
    </w:p>
    <w:p w:rsidR="00133771" w:rsidRDefault="00602B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The maximum line of credit shall not exceed the equivalent amount of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CNY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300,000.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(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III) Application procedure</w:t>
      </w:r>
    </w:p>
    <w:p w:rsidR="00133771" w:rsidRDefault="00602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In order to provide more effici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ent and considerate services,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ank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of China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appoints a full-time customer manager of the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BMC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ranch in Beijing to help applicants apply for cards and follow up throughout the application process. Contact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for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pecific business: </w:t>
      </w:r>
      <w:proofErr w:type="spellStart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Che</w:t>
      </w:r>
      <w:proofErr w:type="spellEnd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 Ping (15901186208)</w:t>
      </w:r>
    </w:p>
    <w:p w:rsidR="00133771" w:rsidRDefault="00A508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602B3A"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(</w:t>
      </w:r>
      <w:r w:rsidR="00602B3A">
        <w:rPr>
          <w:rFonts w:ascii="Times New Roman" w:hAnsi="Times New Roman" w:cs="Times New Roman"/>
          <w:color w:val="000000"/>
          <w:kern w:val="0"/>
          <w:sz w:val="32"/>
          <w:szCs w:val="32"/>
        </w:rPr>
        <w:t>IV) Notes</w:t>
      </w:r>
    </w:p>
    <w:p w:rsidR="00133771" w:rsidRDefault="00602B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Foreign talents who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will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leave China to work or live in other countries or regions shall take the initiative to clear any overdraft on their Bank of Beijing credit card,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close the account and cancel the card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 before departure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,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 xml:space="preserve">thus 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ensuring a good personal </w:t>
      </w:r>
      <w:r>
        <w:rPr>
          <w:rFonts w:ascii="Times New Roman" w:hAnsi="Times New Roman" w:cs="Times New Roman" w:hint="eastAsia"/>
          <w:color w:val="000000"/>
          <w:kern w:val="0"/>
          <w:sz w:val="32"/>
          <w:szCs w:val="32"/>
        </w:rPr>
        <w:t>credibility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.</w:t>
      </w:r>
    </w:p>
    <w:p w:rsidR="00133771" w:rsidRDefault="001337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sectPr w:rsidR="00133771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3A80E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3A" w:rsidRDefault="00602B3A">
      <w:r>
        <w:separator/>
      </w:r>
    </w:p>
  </w:endnote>
  <w:endnote w:type="continuationSeparator" w:id="0">
    <w:p w:rsidR="00602B3A" w:rsidRDefault="006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1" w:rsidRDefault="001337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3A" w:rsidRDefault="00602B3A">
      <w:r>
        <w:separator/>
      </w:r>
    </w:p>
  </w:footnote>
  <w:footnote w:type="continuationSeparator" w:id="0">
    <w:p w:rsidR="00602B3A" w:rsidRDefault="006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1" w:rsidRDefault="00133771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ordsTalk">
    <w15:presenceInfo w15:providerId="None" w15:userId="WordsTa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MDMzMrc0NjYxNTBX0lEKTi0uzszPAykwrQUAvYrx0ywAAAA="/>
  </w:docVars>
  <w:rsids>
    <w:rsidRoot w:val="00A8369F"/>
    <w:rsid w:val="000330FC"/>
    <w:rsid w:val="00036543"/>
    <w:rsid w:val="000C095A"/>
    <w:rsid w:val="000D110B"/>
    <w:rsid w:val="000D2ED2"/>
    <w:rsid w:val="00104EC6"/>
    <w:rsid w:val="00106100"/>
    <w:rsid w:val="00133771"/>
    <w:rsid w:val="00166509"/>
    <w:rsid w:val="00203AA8"/>
    <w:rsid w:val="00272A69"/>
    <w:rsid w:val="002F2134"/>
    <w:rsid w:val="0030239A"/>
    <w:rsid w:val="003866A1"/>
    <w:rsid w:val="003A4107"/>
    <w:rsid w:val="00416141"/>
    <w:rsid w:val="00427305"/>
    <w:rsid w:val="00437E6F"/>
    <w:rsid w:val="004C2DA3"/>
    <w:rsid w:val="004E1E5B"/>
    <w:rsid w:val="004E3E67"/>
    <w:rsid w:val="004E6564"/>
    <w:rsid w:val="00516156"/>
    <w:rsid w:val="0053384C"/>
    <w:rsid w:val="005354DD"/>
    <w:rsid w:val="005521BA"/>
    <w:rsid w:val="0056457F"/>
    <w:rsid w:val="005660FC"/>
    <w:rsid w:val="005D62A7"/>
    <w:rsid w:val="005E4F44"/>
    <w:rsid w:val="005F232A"/>
    <w:rsid w:val="00602B3A"/>
    <w:rsid w:val="00606414"/>
    <w:rsid w:val="00611607"/>
    <w:rsid w:val="00616930"/>
    <w:rsid w:val="00633C6F"/>
    <w:rsid w:val="00642A92"/>
    <w:rsid w:val="0066006D"/>
    <w:rsid w:val="00677F3A"/>
    <w:rsid w:val="00684B11"/>
    <w:rsid w:val="006A57DC"/>
    <w:rsid w:val="006B5BAD"/>
    <w:rsid w:val="006D2509"/>
    <w:rsid w:val="006E569A"/>
    <w:rsid w:val="00702641"/>
    <w:rsid w:val="00703906"/>
    <w:rsid w:val="0070749C"/>
    <w:rsid w:val="00743B01"/>
    <w:rsid w:val="00755CE1"/>
    <w:rsid w:val="007C2B2E"/>
    <w:rsid w:val="007F73CC"/>
    <w:rsid w:val="00801EBC"/>
    <w:rsid w:val="008563E1"/>
    <w:rsid w:val="009016F2"/>
    <w:rsid w:val="009034E2"/>
    <w:rsid w:val="00923817"/>
    <w:rsid w:val="009309F6"/>
    <w:rsid w:val="009A2725"/>
    <w:rsid w:val="009A5CDC"/>
    <w:rsid w:val="009B5350"/>
    <w:rsid w:val="009B5E27"/>
    <w:rsid w:val="009E73F8"/>
    <w:rsid w:val="00A05151"/>
    <w:rsid w:val="00A46E72"/>
    <w:rsid w:val="00A50867"/>
    <w:rsid w:val="00A52E0E"/>
    <w:rsid w:val="00A60096"/>
    <w:rsid w:val="00A612A6"/>
    <w:rsid w:val="00A8369F"/>
    <w:rsid w:val="00AC12B3"/>
    <w:rsid w:val="00C34591"/>
    <w:rsid w:val="00C611F3"/>
    <w:rsid w:val="00CA0C80"/>
    <w:rsid w:val="00CE3518"/>
    <w:rsid w:val="00D21062"/>
    <w:rsid w:val="00E020E8"/>
    <w:rsid w:val="00E23B4A"/>
    <w:rsid w:val="00E276AF"/>
    <w:rsid w:val="00E33F97"/>
    <w:rsid w:val="00E8519B"/>
    <w:rsid w:val="00EB4956"/>
    <w:rsid w:val="00EE05E1"/>
    <w:rsid w:val="00EE352F"/>
    <w:rsid w:val="00F1212F"/>
    <w:rsid w:val="00F14B89"/>
    <w:rsid w:val="00F55764"/>
    <w:rsid w:val="00F62C30"/>
    <w:rsid w:val="00FB14CC"/>
    <w:rsid w:val="00FD58C0"/>
    <w:rsid w:val="00FF499F"/>
    <w:rsid w:val="00FF6009"/>
    <w:rsid w:val="1569166B"/>
    <w:rsid w:val="678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2952</Characters>
  <Application>Microsoft Office Word</Application>
  <DocSecurity>0</DocSecurity>
  <Lines>86</Lines>
  <Paragraphs>50</Paragraphs>
  <ScaleCrop>false</ScaleCrop>
  <Company>Sky123.Org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WordsTalk</dc:creator>
  <cp:lastModifiedBy>鲁玉新</cp:lastModifiedBy>
  <cp:revision>2</cp:revision>
  <dcterms:created xsi:type="dcterms:W3CDTF">2021-07-19T03:35:00Z</dcterms:created>
  <dcterms:modified xsi:type="dcterms:W3CDTF">2021-07-19T03:35:00Z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0B80B21C15D945858B864880A7FC1F5E</vt:lpwstr>
  </property>
</Properties>
</file>