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Appendix:</w:t>
      </w:r>
    </w:p>
    <w:p>
      <w:pPr>
        <w:widowControl w:val="0"/>
        <w:spacing w:line="579" w:lineRule="exact"/>
        <w:ind w:firstLine="0" w:firstLineChars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Time limit of Tianjin Port for Container Goods Operation</w:t>
      </w:r>
    </w:p>
    <w:bookmarkEnd w:id="0"/>
    <w:p>
      <w:pPr>
        <w:widowControl w:val="0"/>
        <w:spacing w:line="579" w:lineRule="exact"/>
        <w:ind w:firstLine="0" w:firstLineChars="0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835"/>
        <w:gridCol w:w="2467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333333"/>
                <w:kern w:val="0"/>
                <w:sz w:val="32"/>
                <w:szCs w:val="32"/>
              </w:rPr>
              <w:t>Project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333333"/>
                <w:kern w:val="0"/>
                <w:sz w:val="32"/>
                <w:szCs w:val="32"/>
              </w:rPr>
              <w:t>Service Links</w:t>
            </w:r>
          </w:p>
        </w:tc>
        <w:tc>
          <w:tcPr>
            <w:tcW w:w="2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333333"/>
                <w:kern w:val="0"/>
                <w:sz w:val="32"/>
                <w:szCs w:val="32"/>
              </w:rPr>
              <w:t>Service Contents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333333"/>
                <w:kern w:val="0"/>
                <w:sz w:val="32"/>
                <w:szCs w:val="32"/>
              </w:rPr>
              <w:t>Commitment delivery rate/time limit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Cs w:val="28"/>
              </w:rPr>
              <w:t>Dock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Operation time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Operation time of the 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24-hour service, 365 days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Ship dynamics 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Assure dynamic and punctual entry and exit of ships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The rate of dynamic plan change on account of the port authority is no higher than 1.5%, and the rate of container liner missing on account of the port authority is no higher than 1.5%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Direct parking of ships 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Assure direct entry of punctual container lines after arrival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Direct parking rate of punctual container lines above 92%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Ship parking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The mooring rope operator is quickly ready to assure timely parking of ships and shorten the parking time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The average parking time of ships is no longer than 30 minutes, excluding factors not attributable to the port authority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Operation efficiency 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Average operation efficiency of container crane of the 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The average operation efficiency of single container crane is higher than 28.5 natural containers/hour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Container truck handover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Shorten the handover time of container truck trailers in the dock yard and ensure the transport efficiency inside the yard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The average handover time of container trucks is no longer than 30 minutes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Processing at Business Hall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Each window of the business hall processes various business procedures for customers.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Within 10 minutes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Gate Releasing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Verify the information related to vehicles and containers, and release upon the confirmation without errors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Within 2 minutes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Delivery reservation 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You can submit the import container reservation plan at the acceptance center while making an online reservation of delivery operation, given the regulator’s release and complete procedure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Delivery and concentration operation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Perform container delivery and dropping operation based on delivery and concentration instruction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Proportion is increased to 70% within 30 minutes;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Proportion is increased to 92% within 60 minutes.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Cs w:val="28"/>
              </w:rPr>
              <w:t>Yard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Unpacking and Pick Up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pick up procedures are processed for consignee, and reasonable machinery and manpower arrangements are made for unpacking loading operations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Manpower: 3 hours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Machinery: 2 hours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Empty Container Collection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Print out the information on container inspection and data entry at the gate as discharge container receipts, and provide discharge container services as per the discharge container receipts.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Within 40 minutes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Cs w:val="28"/>
              </w:rPr>
              <w:t>Check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Check reservation 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After receiving the check instruction from the customs, the customer can perform the check reservation procedure for import container (general goods) at the acceptance center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Check of general goods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Time limit for unloading and loading operations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3 hours/TEU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Cs w:val="28"/>
              </w:rPr>
              <w:t>Comprehensive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Tugboat operation 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Punctuality rate of tugboat parking operation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Punctuality rate above 95%  (excluding reasons attributable to tugboat)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Pilot boarding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Punctuality rate of pilot boarding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Punctuality rate 100% (excluding reasons attributable to pilot)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333333"/>
                <w:kern w:val="0"/>
                <w:sz w:val="24"/>
                <w:szCs w:val="24"/>
              </w:rPr>
              <w:t>Handling product information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Time limit for transmission of handling product information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Within 2 hours after completion</w:t>
            </w:r>
          </w:p>
        </w:tc>
      </w:tr>
    </w:tbl>
    <w:p>
      <w:pPr>
        <w:spacing w:line="240" w:lineRule="auto"/>
        <w:ind w:firstLine="480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Remarks: Except for special-purpose containers, special goods and other special situations. Special containers include refrigerators, framework containers, over-limit containers and other goods applied special processes based on actual conditions; special goods include over-limit goods and goods with difficult operations requiring cooperation of various machineries and manpower; special cases include container damages, incomplete pick up and delivery procedures, goods damages, inconsistence in actual goods and bill of lading, etc.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018EA"/>
    <w:rsid w:val="686018EA"/>
    <w:rsid w:val="73EE1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center"/>
    </w:pPr>
    <w:rPr>
      <w:rFonts w:ascii="宋体" w:hAnsi="等线" w:eastAsia="宋体" w:cs="Times New Roman"/>
      <w:kern w:val="2"/>
      <w:sz w:val="28"/>
      <w:szCs w:val="18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2020-05-06T05:00:00Z</dcterms:created>
  <dc:creator>lenovo</dc:creator>
  <cp:lastModifiedBy>lenovo</cp:lastModifiedBy>
  <dcterms:modified xsi:type="dcterms:W3CDTF">2020-05-06T05:01:20Z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