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rPr>
          <w:rFonts w:ascii="黑体" w:eastAsia="黑体"/>
          <w:sz w:val="32"/>
          <w:szCs w:val="32"/>
        </w:rPr>
      </w:pPr>
      <w:bookmarkStart w:id="0" w:name="_GoBack"/>
      <w:r>
        <w:rPr>
          <w:rFonts w:ascii="Times New Roman" w:hAnsi="Times New Roman" w:eastAsia="Times New Roman"/>
          <w:sz w:val="32"/>
        </w:rPr>
        <w:t>Annex 4</w:t>
      </w:r>
    </w:p>
    <w:bookmarkEnd w:id="0"/>
    <w:p>
      <w:pPr>
        <w:snapToGrid w:val="0"/>
        <w:spacing w:line="276" w:lineRule="auto"/>
        <w:jc w:val="center"/>
        <w:rPr>
          <w:rFonts w:ascii="黑体" w:eastAsia="黑体"/>
          <w:sz w:val="36"/>
          <w:szCs w:val="36"/>
        </w:rPr>
      </w:pPr>
      <w:r>
        <w:rPr>
          <w:snapToGrid w:val="0"/>
        </w:rPr>
        <w:br w:type="textWrapping"/>
      </w:r>
      <w:r>
        <w:rPr>
          <w:rFonts w:ascii="Times New Roman" w:hAnsi="Times New Roman" w:eastAsia="Times New Roman"/>
          <w:sz w:val="36"/>
        </w:rPr>
        <w:t>Beijing Housing Fund Management Center</w:t>
      </w:r>
      <w:r>
        <w:rPr>
          <w:snapToGrid w:val="0"/>
        </w:rPr>
        <w:br w:type="textWrapping"/>
      </w:r>
      <w:r>
        <w:rPr>
          <w:rFonts w:ascii="Times New Roman" w:hAnsi="Times New Roman" w:eastAsia="Times New Roman"/>
          <w:sz w:val="36"/>
        </w:rPr>
        <w:t>Personal Housing Accumulation Fund Loan—Contract for Obtaining Real Estate Ownership Certificate</w:t>
      </w:r>
    </w:p>
    <w:p>
      <w:pPr>
        <w:snapToGrid w:val="0"/>
        <w:spacing w:line="360" w:lineRule="auto"/>
        <w:ind w:right="-525" w:rightChars="-250" w:firstLine="3360" w:firstLineChars="1200"/>
        <w:rPr>
          <w:rFonts w:ascii="黑体" w:hAnsi="黑体" w:eastAsia="黑体"/>
          <w:color w:val="000000"/>
          <w:sz w:val="44"/>
          <w:szCs w:val="44"/>
        </w:rPr>
      </w:pPr>
      <w:r>
        <w:rPr>
          <w:rFonts w:ascii="Times New Roman" w:hAnsi="Times New Roman" w:eastAsia="Times New Roman"/>
          <w:color w:val="000000"/>
          <w:sz w:val="28"/>
        </w:rPr>
        <w:t>(Version 2020)</w:t>
      </w:r>
    </w:p>
    <w:p>
      <w:pPr>
        <w:spacing w:line="400" w:lineRule="exact"/>
        <w:ind w:firstLine="435"/>
        <w:rPr>
          <w:rFonts w:ascii="宋体" w:hAnsi="宋体" w:cs="宋体"/>
          <w:sz w:val="24"/>
        </w:rPr>
      </w:pPr>
      <w:r>
        <w:rPr>
          <w:rFonts w:ascii="Times New Roman" w:hAnsi="Times New Roman" w:eastAsia="Times New Roman"/>
          <w:sz w:val="24"/>
        </w:rPr>
        <w:t>Party A (homebuyer):</w:t>
      </w:r>
    </w:p>
    <w:p>
      <w:pPr>
        <w:spacing w:line="400" w:lineRule="exact"/>
        <w:ind w:firstLine="435"/>
        <w:rPr>
          <w:rFonts w:ascii="宋体" w:hAnsi="宋体" w:cs="宋体"/>
          <w:sz w:val="24"/>
        </w:rPr>
      </w:pPr>
      <w:r>
        <w:rPr>
          <w:rFonts w:ascii="Times New Roman" w:hAnsi="Times New Roman" w:eastAsia="Times New Roman"/>
          <w:sz w:val="24"/>
        </w:rPr>
        <w:t>ID card number:</w:t>
      </w:r>
    </w:p>
    <w:p>
      <w:pPr>
        <w:spacing w:line="400" w:lineRule="exact"/>
        <w:ind w:firstLine="435"/>
        <w:rPr>
          <w:rFonts w:ascii="宋体" w:hAnsi="宋体" w:cs="宋体"/>
          <w:sz w:val="24"/>
        </w:rPr>
      </w:pPr>
      <w:r>
        <w:rPr>
          <w:rFonts w:ascii="Times New Roman" w:hAnsi="Times New Roman" w:eastAsia="Times New Roman"/>
          <w:sz w:val="24"/>
        </w:rPr>
        <w:t>Add:</w:t>
      </w:r>
    </w:p>
    <w:p>
      <w:pPr>
        <w:spacing w:line="400" w:lineRule="exact"/>
        <w:ind w:firstLine="435"/>
        <w:rPr>
          <w:rFonts w:ascii="宋体" w:hAnsi="宋体" w:cs="宋体"/>
          <w:sz w:val="24"/>
        </w:rPr>
      </w:pPr>
      <w:r>
        <w:rPr>
          <w:rFonts w:ascii="Times New Roman" w:hAnsi="Times New Roman" w:eastAsia="Times New Roman"/>
          <w:sz w:val="24"/>
        </w:rPr>
        <w:t>Tel:</w:t>
      </w:r>
    </w:p>
    <w:p>
      <w:pPr>
        <w:spacing w:line="400" w:lineRule="exact"/>
        <w:ind w:firstLine="435"/>
        <w:rPr>
          <w:rFonts w:ascii="宋体" w:hAnsi="宋体" w:cs="宋体"/>
          <w:sz w:val="24"/>
        </w:rPr>
      </w:pPr>
    </w:p>
    <w:p>
      <w:pPr>
        <w:spacing w:line="400" w:lineRule="exact"/>
        <w:ind w:firstLine="435"/>
        <w:rPr>
          <w:rFonts w:ascii="宋体" w:hAnsi="宋体" w:cs="宋体"/>
          <w:sz w:val="24"/>
        </w:rPr>
      </w:pPr>
      <w:r>
        <w:rPr>
          <w:rFonts w:ascii="Times New Roman" w:hAnsi="Times New Roman" w:eastAsia="Times New Roman"/>
          <w:sz w:val="24"/>
        </w:rPr>
        <w:t>Party B: Beijing Housing Loan Guarantee Center</w:t>
      </w:r>
    </w:p>
    <w:p>
      <w:pPr>
        <w:spacing w:line="400" w:lineRule="exact"/>
        <w:ind w:firstLine="435"/>
        <w:rPr>
          <w:rFonts w:ascii="宋体" w:hAnsi="宋体" w:cs="宋体"/>
          <w:sz w:val="24"/>
        </w:rPr>
      </w:pPr>
      <w:r>
        <w:rPr>
          <w:rFonts w:ascii="Times New Roman" w:hAnsi="Times New Roman" w:eastAsia="Times New Roman"/>
          <w:sz w:val="24"/>
        </w:rPr>
        <w:t>Add: 7-8F, West Tower, Splendid Times Plaza, 56, North 4th Ring West Road, Haidian District, Beijing, China</w:t>
      </w:r>
    </w:p>
    <w:p>
      <w:pPr>
        <w:spacing w:line="400" w:lineRule="exact"/>
        <w:ind w:firstLine="435"/>
        <w:rPr>
          <w:rFonts w:ascii="宋体" w:hAnsi="宋体" w:cs="宋体"/>
          <w:sz w:val="24"/>
        </w:rPr>
      </w:pPr>
      <w:r>
        <w:rPr>
          <w:rFonts w:ascii="Times New Roman" w:hAnsi="Times New Roman" w:eastAsia="Times New Roman"/>
          <w:sz w:val="24"/>
        </w:rPr>
        <w:t>Tel: 62695566</w:t>
      </w:r>
    </w:p>
    <w:p>
      <w:pPr>
        <w:spacing w:line="400" w:lineRule="exact"/>
        <w:ind w:firstLine="435"/>
        <w:rPr>
          <w:rFonts w:ascii="宋体" w:hAnsi="宋体" w:cs="宋体"/>
          <w:sz w:val="24"/>
        </w:rPr>
      </w:pPr>
    </w:p>
    <w:p>
      <w:pPr>
        <w:spacing w:line="400" w:lineRule="exact"/>
        <w:ind w:firstLine="435"/>
        <w:rPr>
          <w:rFonts w:ascii="宋体" w:hAnsi="宋体" w:cs="宋体"/>
          <w:sz w:val="24"/>
        </w:rPr>
      </w:pPr>
      <w:r>
        <w:rPr>
          <w:rFonts w:ascii="Times New Roman" w:hAnsi="Times New Roman" w:eastAsia="Times New Roman"/>
          <w:sz w:val="24"/>
        </w:rPr>
        <w:t>Party C (Seller):</w:t>
      </w:r>
    </w:p>
    <w:p>
      <w:pPr>
        <w:spacing w:line="400" w:lineRule="exact"/>
        <w:ind w:firstLine="435"/>
        <w:rPr>
          <w:rFonts w:ascii="宋体" w:hAnsi="宋体" w:cs="宋体"/>
          <w:sz w:val="24"/>
        </w:rPr>
      </w:pPr>
      <w:r>
        <w:rPr>
          <w:rFonts w:ascii="Times New Roman" w:hAnsi="Times New Roman" w:eastAsia="Times New Roman"/>
          <w:sz w:val="24"/>
        </w:rPr>
        <w:t>Add:</w:t>
      </w:r>
    </w:p>
    <w:p>
      <w:pPr>
        <w:spacing w:line="400" w:lineRule="exact"/>
        <w:ind w:firstLine="435"/>
        <w:rPr>
          <w:rFonts w:ascii="宋体" w:hAnsi="宋体" w:cs="宋体"/>
          <w:sz w:val="24"/>
        </w:rPr>
      </w:pPr>
      <w:r>
        <w:rPr>
          <w:rFonts w:ascii="Times New Roman" w:hAnsi="Times New Roman" w:eastAsia="Times New Roman"/>
          <w:sz w:val="24"/>
        </w:rPr>
        <w:t>Tel:</w:t>
      </w:r>
    </w:p>
    <w:p>
      <w:pPr>
        <w:spacing w:line="400" w:lineRule="exact"/>
        <w:ind w:firstLine="435"/>
        <w:rPr>
          <w:rFonts w:ascii="宋体" w:hAnsi="宋体" w:cs="宋体"/>
          <w:sz w:val="24"/>
        </w:rPr>
      </w:pPr>
    </w:p>
    <w:p>
      <w:pPr>
        <w:spacing w:line="400" w:lineRule="exact"/>
        <w:rPr>
          <w:rFonts w:ascii="宋体" w:hAnsi="宋体" w:cs="宋体"/>
          <w:sz w:val="24"/>
        </w:rPr>
      </w:pPr>
      <w:r>
        <w:rPr>
          <w:rFonts w:ascii="Times New Roman" w:hAnsi="Times New Roman" w:eastAsia="Times New Roman"/>
          <w:sz w:val="24"/>
        </w:rPr>
        <w:t>In so much as:</w:t>
      </w:r>
      <w:r>
        <w:rPr>
          <w:snapToGrid w:val="0"/>
        </w:rPr>
        <w:br w:type="textWrapping"/>
      </w:r>
      <w:r>
        <w:rPr>
          <w:rFonts w:ascii="Times New Roman" w:hAnsi="Times New Roman" w:eastAsia="Times New Roman"/>
          <w:sz w:val="24"/>
        </w:rPr>
        <w:t>1. Party A is applying to the Beijing Housing Fund Management Center (</w:t>
      </w:r>
      <w:r>
        <w:rPr>
          <w:rFonts w:hint="eastAsia" w:ascii="Times New Roman" w:hAnsi="Times New Roman"/>
          <w:sz w:val="24"/>
          <w:lang w:val="en-US" w:eastAsia="zh-CN"/>
        </w:rPr>
        <w:t>"</w:t>
      </w:r>
      <w:r>
        <w:rPr>
          <w:rFonts w:ascii="Times New Roman" w:hAnsi="Times New Roman" w:eastAsia="Times New Roman"/>
          <w:sz w:val="24"/>
        </w:rPr>
        <w:t>the Center</w:t>
      </w:r>
      <w:r>
        <w:rPr>
          <w:rFonts w:hint="eastAsia" w:ascii="Times New Roman" w:hAnsi="Times New Roman"/>
          <w:sz w:val="24"/>
          <w:lang w:val="en-US" w:eastAsia="zh-CN"/>
        </w:rPr>
        <w:t>"</w:t>
      </w:r>
      <w:r>
        <w:rPr>
          <w:rFonts w:ascii="Times New Roman" w:hAnsi="Times New Roman" w:eastAsia="Times New Roman"/>
          <w:sz w:val="24"/>
        </w:rPr>
        <w:t>) for a personal housing accumulation fund loan (</w:t>
      </w:r>
      <w:r>
        <w:rPr>
          <w:rFonts w:hint="eastAsia" w:ascii="Times New Roman" w:hAnsi="Times New Roman"/>
          <w:sz w:val="24"/>
          <w:lang w:val="en-US" w:eastAsia="zh-CN"/>
        </w:rPr>
        <w:t>"</w:t>
      </w:r>
      <w:r>
        <w:rPr>
          <w:rFonts w:ascii="Times New Roman" w:hAnsi="Times New Roman" w:eastAsia="Times New Roman"/>
          <w:sz w:val="24"/>
        </w:rPr>
        <w:t>the underlying loan</w:t>
      </w:r>
      <w:r>
        <w:rPr>
          <w:rFonts w:hint="eastAsia" w:ascii="Times New Roman" w:hAnsi="Times New Roman"/>
          <w:sz w:val="24"/>
          <w:lang w:val="en-US" w:eastAsia="zh-CN"/>
        </w:rPr>
        <w:t>"</w:t>
      </w:r>
      <w:r>
        <w:rPr>
          <w:rFonts w:ascii="Times New Roman" w:hAnsi="Times New Roman" w:eastAsia="Times New Roman"/>
          <w:sz w:val="24"/>
        </w:rPr>
        <w:t>), and the Center is serving as the Lender of the underlying loan and the Mortgagee of the housing Party A is seeking to purchase with the underlying loan (</w:t>
      </w:r>
      <w:r>
        <w:rPr>
          <w:rFonts w:hint="eastAsia" w:ascii="Times New Roman" w:hAnsi="Times New Roman"/>
          <w:sz w:val="24"/>
          <w:lang w:val="en-US" w:eastAsia="zh-CN"/>
        </w:rPr>
        <w:t>"</w:t>
      </w:r>
      <w:r>
        <w:rPr>
          <w:rFonts w:ascii="Times New Roman" w:hAnsi="Times New Roman" w:eastAsia="Times New Roman"/>
          <w:sz w:val="24"/>
        </w:rPr>
        <w:t>the Housing</w:t>
      </w:r>
      <w:r>
        <w:rPr>
          <w:rFonts w:hint="eastAsia" w:ascii="Times New Roman" w:hAnsi="Times New Roman"/>
          <w:sz w:val="24"/>
          <w:lang w:val="en-US" w:eastAsia="zh-CN"/>
        </w:rPr>
        <w:t>"</w:t>
      </w:r>
      <w:r>
        <w:rPr>
          <w:rFonts w:ascii="Times New Roman" w:hAnsi="Times New Roman" w:eastAsia="Times New Roman"/>
          <w:sz w:val="24"/>
        </w:rPr>
        <w:t>), and;</w:t>
      </w:r>
      <w:r>
        <w:rPr>
          <w:snapToGrid w:val="0"/>
        </w:rPr>
        <w:br w:type="textWrapping"/>
      </w:r>
      <w:r>
        <w:rPr>
          <w:rFonts w:ascii="Times New Roman" w:hAnsi="Times New Roman" w:eastAsia="Times New Roman"/>
          <w:sz w:val="24"/>
        </w:rPr>
        <w:t>2. Party B is the Center</w:t>
      </w:r>
      <w:r>
        <w:rPr>
          <w:rFonts w:hint="eastAsia" w:ascii="Times New Roman" w:hAnsi="Times New Roman"/>
          <w:sz w:val="24"/>
          <w:lang w:val="en-US" w:eastAsia="zh-CN"/>
        </w:rPr>
        <w:t>'</w:t>
      </w:r>
      <w:r>
        <w:rPr>
          <w:rFonts w:ascii="Times New Roman" w:hAnsi="Times New Roman" w:eastAsia="Times New Roman"/>
          <w:sz w:val="24"/>
        </w:rPr>
        <w:t>s asset manager in charge of the matters agreed upon in the Contract in accordance with the Center</w:t>
      </w:r>
      <w:r>
        <w:rPr>
          <w:rFonts w:hint="eastAsia" w:ascii="Times New Roman" w:hAnsi="Times New Roman"/>
          <w:sz w:val="24"/>
          <w:lang w:val="en-US" w:eastAsia="zh-CN"/>
        </w:rPr>
        <w:t>'</w:t>
      </w:r>
      <w:r>
        <w:rPr>
          <w:rFonts w:ascii="Times New Roman" w:hAnsi="Times New Roman" w:eastAsia="Times New Roman"/>
          <w:sz w:val="24"/>
        </w:rPr>
        <w:t>s requirements,</w:t>
      </w:r>
      <w:r>
        <w:rPr>
          <w:snapToGrid w:val="0"/>
        </w:rPr>
        <w:br w:type="textWrapping"/>
      </w:r>
      <w:r>
        <w:rPr>
          <w:rFonts w:ascii="Times New Roman" w:hAnsi="Times New Roman" w:eastAsia="Times New Roman"/>
          <w:sz w:val="24"/>
        </w:rPr>
        <w:t>to clarify the rights and obligations of the parties involved, Party A, Party B, and Party C hereby conclude the Contract.</w:t>
      </w:r>
    </w:p>
    <w:p>
      <w:pPr>
        <w:spacing w:line="400" w:lineRule="exact"/>
        <w:rPr>
          <w:rFonts w:ascii="Times New Roman" w:hAnsi="Times New Roman" w:eastAsia="Times New Roman"/>
          <w:sz w:val="24"/>
        </w:rPr>
      </w:pPr>
      <w:r>
        <w:rPr>
          <w:snapToGrid w:val="0"/>
        </w:rPr>
        <w:br w:type="textWrapping"/>
      </w:r>
      <w:r>
        <w:rPr>
          <w:rFonts w:ascii="Times New Roman" w:hAnsi="Times New Roman" w:eastAsia="Times New Roman"/>
          <w:sz w:val="24"/>
        </w:rPr>
        <w:t xml:space="preserve">Article I </w:t>
      </w:r>
    </w:p>
    <w:p>
      <w:pPr>
        <w:spacing w:line="400" w:lineRule="exact"/>
        <w:rPr>
          <w:rFonts w:ascii="宋体" w:hAnsi="宋体" w:cs="宋体"/>
          <w:sz w:val="24"/>
          <w:u w:val="single"/>
        </w:rPr>
      </w:pPr>
      <w:r>
        <w:rPr>
          <w:rFonts w:ascii="Times New Roman" w:hAnsi="Times New Roman" w:eastAsia="Times New Roman"/>
          <w:sz w:val="24"/>
        </w:rPr>
        <w:t>Party A shall apply to the Center for the underlying loan to purchase</w:t>
      </w:r>
    </w:p>
    <w:p>
      <w:pPr>
        <w:spacing w:line="400" w:lineRule="exact"/>
        <w:rPr>
          <w:rFonts w:ascii="Times New Roman" w:hAnsi="Times New Roman" w:eastAsia="Times New Roman"/>
          <w:sz w:val="24"/>
        </w:rPr>
      </w:pPr>
      <w:r>
        <w:rPr>
          <w:rFonts w:hint="eastAsia" w:ascii="宋体" w:hAnsi="宋体" w:cs="宋体"/>
          <w:sz w:val="24"/>
          <w:u w:val="single"/>
        </w:rPr>
        <w:t xml:space="preserve">                                                                     </w:t>
      </w:r>
      <w:r>
        <w:rPr>
          <w:snapToGrid w:val="0"/>
        </w:rPr>
        <w:br w:type="textWrapping"/>
      </w:r>
      <w:r>
        <w:rPr>
          <w:rFonts w:ascii="Times New Roman" w:hAnsi="Times New Roman" w:eastAsia="Times New Roman"/>
          <w:sz w:val="24"/>
        </w:rPr>
        <w:t>(details of the Housing) from Party C. Party A agrees to mortgage the Housing and to cooperate with the mortgage registration procedures when the required conditions have been satisfied.</w:t>
      </w:r>
      <w:r>
        <w:rPr>
          <w:snapToGrid w:val="0"/>
        </w:rPr>
        <w:br w:type="textWrapping"/>
      </w:r>
      <w:r>
        <w:rPr>
          <w:rFonts w:ascii="Times New Roman" w:hAnsi="Times New Roman" w:eastAsia="Times New Roman"/>
          <w:sz w:val="24"/>
        </w:rPr>
        <w:t xml:space="preserve">Article II </w:t>
      </w:r>
    </w:p>
    <w:p>
      <w:pPr>
        <w:spacing w:line="400" w:lineRule="exact"/>
        <w:rPr>
          <w:rFonts w:ascii="Times New Roman" w:hAnsi="Times New Roman" w:eastAsia="Times New Roman"/>
          <w:sz w:val="24"/>
        </w:rPr>
      </w:pPr>
      <w:r>
        <w:rPr>
          <w:rFonts w:ascii="Times New Roman" w:hAnsi="Times New Roman" w:eastAsia="Times New Roman"/>
          <w:sz w:val="24"/>
        </w:rPr>
        <w:t>Party A shall entrust Party C with obtaining a Real Estate Ownership Certificate for the Housing on behalf of Party A and promise that Party A will pay the deed tax incurred, special maintenance funds, and other expenses related to Party A</w:t>
      </w:r>
      <w:r>
        <w:rPr>
          <w:rFonts w:hint="eastAsia" w:ascii="Times New Roman" w:hAnsi="Times New Roman"/>
          <w:sz w:val="24"/>
          <w:lang w:val="en-US" w:eastAsia="zh-CN"/>
        </w:rPr>
        <w:t>'</w:t>
      </w:r>
      <w:r>
        <w:rPr>
          <w:rFonts w:ascii="Times New Roman" w:hAnsi="Times New Roman" w:eastAsia="Times New Roman"/>
          <w:sz w:val="24"/>
        </w:rPr>
        <w:t xml:space="preserve">s moving into the Housing and will actively cooperate with Party C in the Housing transfer registration procedures. Regardless of whether the Housing has already been completed or is under construction, Party C shall notify Party B within ten </w:t>
      </w:r>
      <w:r>
        <w:rPr>
          <w:rFonts w:hint="eastAsia" w:ascii="Times New Roman" w:hAnsi="Times New Roman"/>
          <w:sz w:val="24"/>
          <w:lang w:val="en-US" w:eastAsia="zh-CN"/>
        </w:rPr>
        <w:t>working</w:t>
      </w:r>
      <w:r>
        <w:rPr>
          <w:rFonts w:ascii="Times New Roman" w:hAnsi="Times New Roman" w:eastAsia="Times New Roman"/>
          <w:sz w:val="24"/>
        </w:rPr>
        <w:t xml:space="preserve"> days after Party A has obtained the Real Estate Ownership Certificate and deliver the Real Estate Ownership Certificate directly to Party B. The Real Estate Ownership Certificate shall in no way be delivered by Party C to Party A or any other party or received by Party A before Party A has succeeded in paying off the underlying loan or without Party B</w:t>
      </w:r>
      <w:r>
        <w:rPr>
          <w:rFonts w:hint="eastAsia" w:ascii="Times New Roman" w:hAnsi="Times New Roman"/>
          <w:sz w:val="24"/>
          <w:lang w:val="en-US" w:eastAsia="zh-CN"/>
        </w:rPr>
        <w:t>'</w:t>
      </w:r>
      <w:r>
        <w:rPr>
          <w:rFonts w:ascii="Times New Roman" w:hAnsi="Times New Roman" w:eastAsia="Times New Roman"/>
          <w:sz w:val="24"/>
        </w:rPr>
        <w:t>s permission.</w:t>
      </w:r>
      <w:r>
        <w:rPr>
          <w:snapToGrid w:val="0"/>
        </w:rPr>
        <w:br w:type="textWrapping"/>
      </w:r>
      <w:r>
        <w:rPr>
          <w:rFonts w:ascii="Times New Roman" w:hAnsi="Times New Roman" w:eastAsia="Times New Roman"/>
          <w:sz w:val="24"/>
        </w:rPr>
        <w:t xml:space="preserve">Article III </w:t>
      </w:r>
    </w:p>
    <w:p>
      <w:pPr>
        <w:spacing w:line="400" w:lineRule="exact"/>
        <w:rPr>
          <w:rFonts w:ascii="Times New Roman" w:hAnsi="Times New Roman" w:eastAsia="Times New Roman"/>
          <w:sz w:val="24"/>
        </w:rPr>
      </w:pPr>
      <w:r>
        <w:rPr>
          <w:rFonts w:ascii="Times New Roman" w:hAnsi="Times New Roman" w:eastAsia="Times New Roman"/>
          <w:sz w:val="24"/>
        </w:rPr>
        <w:t>Neither Party A nor Party C may violate the following provisions:</w:t>
      </w:r>
      <w:r>
        <w:rPr>
          <w:snapToGrid w:val="0"/>
        </w:rPr>
        <w:br w:type="textWrapping"/>
      </w:r>
      <w:r>
        <w:rPr>
          <w:rFonts w:ascii="Times New Roman" w:hAnsi="Times New Roman" w:eastAsia="Times New Roman"/>
          <w:sz w:val="24"/>
        </w:rPr>
        <w:t>1. Party C shall in no way deliver the housing registration form, housing and land map, or other materials that enable Party A to independently obtain a Real Estate Ownership Certificate to Party A without Party B</w:t>
      </w:r>
      <w:r>
        <w:rPr>
          <w:rFonts w:hint="eastAsia" w:ascii="Times New Roman" w:hAnsi="Times New Roman"/>
          <w:sz w:val="24"/>
          <w:lang w:val="en-US" w:eastAsia="zh-CN"/>
        </w:rPr>
        <w:t>'</w:t>
      </w:r>
      <w:r>
        <w:rPr>
          <w:rFonts w:ascii="Times New Roman" w:hAnsi="Times New Roman" w:eastAsia="Times New Roman"/>
          <w:sz w:val="24"/>
        </w:rPr>
        <w:t xml:space="preserve">s permission, and Party A shall in no way seek to obtain a Real Estate Ownership Certificate independently. In the event that Party A obtains a Real Estate Ownership Certificate for a special reason before Party B has completed the mortgage registration procedure, Party A shall deliver the Real Estate Ownership Certificate to Party B within five </w:t>
      </w:r>
      <w:r>
        <w:rPr>
          <w:rFonts w:hint="eastAsia" w:ascii="Times New Roman" w:hAnsi="Times New Roman"/>
          <w:sz w:val="24"/>
          <w:lang w:val="en-US" w:eastAsia="zh-CN"/>
        </w:rPr>
        <w:t>working</w:t>
      </w:r>
      <w:r>
        <w:rPr>
          <w:rFonts w:ascii="Times New Roman" w:hAnsi="Times New Roman" w:eastAsia="Times New Roman"/>
          <w:sz w:val="24"/>
        </w:rPr>
        <w:t xml:space="preserve"> days.</w:t>
      </w:r>
      <w:r>
        <w:rPr>
          <w:snapToGrid w:val="0"/>
        </w:rPr>
        <w:br w:type="textWrapping"/>
      </w:r>
      <w:r>
        <w:rPr>
          <w:rFonts w:ascii="Times New Roman" w:hAnsi="Times New Roman" w:eastAsia="Times New Roman"/>
          <w:sz w:val="24"/>
        </w:rPr>
        <w:t xml:space="preserve">2. Party A shall actively cooperate with Party B in the mortgage registration procedure. In the event that Party B is unable to complete the procedure as a result of false information contained in the Real Estate Ownership Certificate, Party B shall notify Party A and return the Real Estate Ownership Certificate to Party C. Party A and Party C shall be obliged to correct the Real Estate Ownership Certificate within five </w:t>
      </w:r>
      <w:r>
        <w:rPr>
          <w:rFonts w:hint="eastAsia" w:ascii="Times New Roman" w:hAnsi="Times New Roman"/>
          <w:sz w:val="24"/>
          <w:lang w:val="en-US" w:eastAsia="zh-CN"/>
        </w:rPr>
        <w:t>working</w:t>
      </w:r>
      <w:r>
        <w:rPr>
          <w:rFonts w:ascii="Times New Roman" w:hAnsi="Times New Roman" w:eastAsia="Times New Roman"/>
          <w:sz w:val="24"/>
        </w:rPr>
        <w:t xml:space="preserve"> days from the return of the Real Estate Ownership Certificate. Following the correction, Party C shall promptly return the corrected certificate to Party B to allow Party B to resume the necessary procedures.</w:t>
      </w:r>
      <w:r>
        <w:rPr>
          <w:snapToGrid w:val="0"/>
        </w:rPr>
        <w:br w:type="textWrapping"/>
      </w:r>
      <w:r>
        <w:rPr>
          <w:rFonts w:ascii="Times New Roman" w:hAnsi="Times New Roman" w:eastAsia="Times New Roman"/>
          <w:sz w:val="24"/>
        </w:rPr>
        <w:t xml:space="preserve">Article IV </w:t>
      </w:r>
    </w:p>
    <w:p>
      <w:pPr>
        <w:spacing w:line="400" w:lineRule="exact"/>
        <w:ind w:firstLine="0"/>
        <w:rPr>
          <w:rFonts w:ascii="Times New Roman" w:hAnsi="Times New Roman" w:eastAsia="Times New Roman"/>
          <w:sz w:val="24"/>
        </w:rPr>
      </w:pPr>
      <w:r>
        <w:rPr>
          <w:rFonts w:ascii="Times New Roman" w:hAnsi="Times New Roman" w:eastAsia="Times New Roman"/>
          <w:sz w:val="24"/>
        </w:rPr>
        <w:t>In the event that the property right of the Housing is to be altered by Party A through transfer, exchange, or grant during the performance of the Contract, Party C shall notify Party B ahead of time, and Party B may carry out the required procedures only once the alteration has been approved by the Center. In the event that Party A intends to return the Housing, Party C shall assist Party A to return the outstanding part of the underlying loan to the account designated by the Center.</w:t>
      </w:r>
      <w:r>
        <w:rPr>
          <w:snapToGrid w:val="0"/>
        </w:rPr>
        <w:br w:type="textWrapping"/>
      </w:r>
      <w:r>
        <w:rPr>
          <w:rFonts w:ascii="Times New Roman" w:hAnsi="Times New Roman" w:eastAsia="Times New Roman"/>
          <w:sz w:val="24"/>
        </w:rPr>
        <w:t xml:space="preserve">Article V </w:t>
      </w:r>
    </w:p>
    <w:p>
      <w:pPr>
        <w:spacing w:line="400" w:lineRule="exact"/>
        <w:ind w:firstLine="0"/>
        <w:rPr>
          <w:rFonts w:ascii="Times New Roman" w:hAnsi="Times New Roman" w:eastAsia="Times New Roman"/>
          <w:sz w:val="24"/>
        </w:rPr>
      </w:pPr>
      <w:r>
        <w:rPr>
          <w:rFonts w:ascii="Times New Roman" w:hAnsi="Times New Roman" w:eastAsia="Times New Roman"/>
          <w:sz w:val="24"/>
        </w:rPr>
        <w:t>The Contract may be altered or dissolved only if all three parties to the Contract agree to the alteration or dissolution.</w:t>
      </w:r>
      <w:r>
        <w:rPr>
          <w:snapToGrid w:val="0"/>
        </w:rPr>
        <w:br w:type="textWrapping"/>
      </w:r>
      <w:r>
        <w:rPr>
          <w:rFonts w:ascii="Times New Roman" w:hAnsi="Times New Roman" w:eastAsia="Times New Roman"/>
          <w:sz w:val="24"/>
        </w:rPr>
        <w:t xml:space="preserve">Article VI </w:t>
      </w:r>
    </w:p>
    <w:p>
      <w:pPr>
        <w:spacing w:line="400" w:lineRule="exact"/>
        <w:ind w:firstLine="0"/>
        <w:rPr>
          <w:rFonts w:ascii="Times New Roman" w:hAnsi="Times New Roman" w:eastAsia="Times New Roman"/>
          <w:sz w:val="24"/>
        </w:rPr>
      </w:pPr>
      <w:r>
        <w:rPr>
          <w:rFonts w:ascii="Times New Roman" w:hAnsi="Times New Roman" w:eastAsia="Times New Roman"/>
          <w:sz w:val="24"/>
        </w:rPr>
        <w:t>In the event that Party B fails to complete the mortgage registration as required by the Center as a result of Party A</w:t>
      </w:r>
      <w:r>
        <w:rPr>
          <w:rFonts w:hint="eastAsia" w:ascii="Times New Roman" w:hAnsi="Times New Roman"/>
          <w:sz w:val="24"/>
          <w:lang w:val="en-US" w:eastAsia="zh-CN"/>
        </w:rPr>
        <w:t>'</w:t>
      </w:r>
      <w:r>
        <w:rPr>
          <w:rFonts w:ascii="Times New Roman" w:hAnsi="Times New Roman" w:eastAsia="Times New Roman"/>
          <w:sz w:val="24"/>
        </w:rPr>
        <w:t>s or Party C</w:t>
      </w:r>
      <w:r>
        <w:rPr>
          <w:rFonts w:hint="eastAsia" w:ascii="Times New Roman" w:hAnsi="Times New Roman"/>
          <w:sz w:val="24"/>
          <w:lang w:val="en-US" w:eastAsia="zh-CN"/>
        </w:rPr>
        <w:t>'</w:t>
      </w:r>
      <w:r>
        <w:rPr>
          <w:rFonts w:ascii="Times New Roman" w:hAnsi="Times New Roman" w:eastAsia="Times New Roman"/>
          <w:sz w:val="24"/>
        </w:rPr>
        <w:t>s violation of the provisions above and the failure causes losses to the Center, they shall seek to make compensation for the loses which includes but not be limited to the principal, interest, and penalty interest of the underlying loan and attorney fees, legal costs, travel fees, and appraisal fees incurred during the Center</w:t>
      </w:r>
      <w:r>
        <w:rPr>
          <w:rFonts w:hint="eastAsia" w:ascii="Times New Roman" w:hAnsi="Times New Roman"/>
          <w:sz w:val="24"/>
          <w:lang w:val="en-US" w:eastAsia="zh-CN"/>
        </w:rPr>
        <w:t>'</w:t>
      </w:r>
      <w:r>
        <w:rPr>
          <w:rFonts w:ascii="Times New Roman" w:hAnsi="Times New Roman" w:eastAsia="Times New Roman"/>
          <w:sz w:val="24"/>
        </w:rPr>
        <w:t>s claim for compensation.</w:t>
      </w:r>
      <w:r>
        <w:rPr>
          <w:snapToGrid w:val="0"/>
        </w:rPr>
        <w:br w:type="textWrapping"/>
      </w:r>
      <w:r>
        <w:rPr>
          <w:rFonts w:ascii="Times New Roman" w:hAnsi="Times New Roman" w:eastAsia="Times New Roman"/>
          <w:sz w:val="24"/>
        </w:rPr>
        <w:t xml:space="preserve">Article VII </w:t>
      </w:r>
    </w:p>
    <w:p>
      <w:pPr>
        <w:spacing w:line="400" w:lineRule="exact"/>
        <w:ind w:firstLine="0"/>
        <w:rPr>
          <w:rFonts w:ascii="Times New Roman" w:hAnsi="Times New Roman" w:eastAsia="Times New Roman"/>
          <w:sz w:val="24"/>
        </w:rPr>
      </w:pPr>
      <w:r>
        <w:rPr>
          <w:rFonts w:ascii="Times New Roman" w:hAnsi="Times New Roman" w:eastAsia="Times New Roman"/>
          <w:sz w:val="24"/>
        </w:rPr>
        <w:t>The Contract shall enter into force on the date when the Contract is signed by Party A and the seal affixed by Party B and Party C, and terminate on the date when Party B completes mortgage registration and obtains a Real Estate Ownership Certificate. The provisions on the service of documents under the Loan Contract shall apply to the Contract. Any dispute arising during the performance of the Contract shall be settled by the parties through negotiation. In the event that the dispute cannot be settled through negotiation, any of the parties involved shall be entitled to submit a case to the competent people</w:t>
      </w:r>
      <w:r>
        <w:rPr>
          <w:rFonts w:hint="eastAsia" w:ascii="Times New Roman" w:hAnsi="Times New Roman"/>
          <w:sz w:val="24"/>
          <w:lang w:val="en-US" w:eastAsia="zh-CN"/>
        </w:rPr>
        <w:t>'</w:t>
      </w:r>
      <w:r>
        <w:rPr>
          <w:rFonts w:ascii="Times New Roman" w:hAnsi="Times New Roman" w:eastAsia="Times New Roman"/>
          <w:sz w:val="24"/>
        </w:rPr>
        <w:t>s court in the place where Party B is located to settle the dispute.</w:t>
      </w:r>
      <w:r>
        <w:rPr>
          <w:snapToGrid w:val="0"/>
        </w:rPr>
        <w:br w:type="textWrapping"/>
      </w:r>
      <w:r>
        <w:rPr>
          <w:rFonts w:ascii="Times New Roman" w:hAnsi="Times New Roman" w:eastAsia="Times New Roman"/>
          <w:sz w:val="24"/>
        </w:rPr>
        <w:t xml:space="preserve">Article VIII </w:t>
      </w:r>
    </w:p>
    <w:p>
      <w:pPr>
        <w:spacing w:line="400" w:lineRule="exact"/>
        <w:ind w:firstLine="0"/>
        <w:rPr>
          <w:rFonts w:ascii="宋体" w:hAnsi="宋体" w:cs="宋体"/>
          <w:sz w:val="24"/>
        </w:rPr>
      </w:pPr>
      <w:r>
        <w:rPr>
          <w:rFonts w:ascii="Times New Roman" w:hAnsi="Times New Roman" w:eastAsia="Times New Roman"/>
          <w:sz w:val="24"/>
        </w:rPr>
        <w:t>The Contract shall be in triplicate. Each of Party A, Party B, and Party C shall hold one copy. The three copies shall have the same legal validity.</w:t>
      </w:r>
      <w:r>
        <w:rPr>
          <w:rFonts w:hint="eastAsia" w:ascii="宋体" w:hAnsi="宋体" w:cs="宋体"/>
          <w:sz w:val="24"/>
        </w:rPr>
        <w:t xml:space="preserve">          </w:t>
      </w:r>
      <w:r>
        <w:rPr>
          <w:snapToGrid w:val="0"/>
        </w:rPr>
        <w:br w:type="textWrapping"/>
      </w:r>
      <w:r>
        <w:rPr>
          <w:rFonts w:ascii="Times New Roman" w:hAnsi="Times New Roman" w:eastAsia="Times New Roman"/>
          <w:sz w:val="24"/>
        </w:rPr>
        <w:t>Party A:                      Party B: Beijing Housing Loan Guarantee Center</w:t>
      </w:r>
      <w:r>
        <w:rPr>
          <w:snapToGrid w:val="0"/>
        </w:rPr>
        <w:br w:type="textWrapping"/>
      </w:r>
      <w:r>
        <w:rPr>
          <w:rFonts w:ascii="Times New Roman" w:hAnsi="Times New Roman" w:eastAsia="Times New Roman"/>
          <w:sz w:val="24"/>
        </w:rPr>
        <w:t>(date) MM/DD/YYYY                     (date) MM/DD/YYYY</w:t>
      </w:r>
    </w:p>
    <w:p>
      <w:pPr>
        <w:rPr>
          <w:rFonts w:ascii="宋体" w:hAnsi="宋体" w:cs="宋体"/>
          <w:sz w:val="24"/>
        </w:rPr>
      </w:pPr>
    </w:p>
    <w:p>
      <w:pPr>
        <w:rPr>
          <w:rFonts w:ascii="宋体" w:hAnsi="宋体" w:cs="宋体"/>
          <w:sz w:val="24"/>
        </w:rPr>
      </w:pPr>
      <w:r>
        <w:rPr>
          <w:rFonts w:ascii="Times New Roman" w:hAnsi="Times New Roman" w:eastAsia="Times New Roman"/>
          <w:sz w:val="24"/>
        </w:rPr>
        <w:t>Party C:</w:t>
      </w:r>
    </w:p>
    <w:p>
      <w:pPr>
        <w:ind w:firstLine="480" w:firstLineChars="200"/>
        <w:rPr>
          <w:rFonts w:ascii="宋体" w:hAnsi="宋体" w:cs="宋体"/>
          <w:sz w:val="24"/>
        </w:rPr>
      </w:pPr>
    </w:p>
    <w:p>
      <w:pPr>
        <w:rPr>
          <w:rFonts w:ascii="Times New Roman" w:hAnsi="Times New Roman" w:eastAsia="Times New Roman"/>
          <w:sz w:val="24"/>
        </w:rPr>
      </w:pPr>
      <w:r>
        <w:rPr>
          <w:rFonts w:ascii="Times New Roman" w:hAnsi="Times New Roman" w:eastAsia="Times New Roman"/>
          <w:sz w:val="24"/>
        </w:rPr>
        <w:t>(date) MM/DD/YYYY</w:t>
      </w:r>
    </w:p>
    <w:p>
      <w:pPr>
        <w:ind w:firstLine="480" w:firstLineChars="200"/>
        <w:rPr>
          <w:rFonts w:ascii="Times New Roman" w:hAnsi="Times New Roman" w:eastAsia="Times New Roman"/>
          <w:sz w:val="24"/>
        </w:rPr>
      </w:pPr>
    </w:p>
    <w:p>
      <w:pPr>
        <w:widowControl/>
        <w:spacing w:line="420" w:lineRule="exact"/>
        <w:rPr>
          <w:rFonts w:ascii="宋体" w:hAnsi="宋体" w:cs="宋体"/>
          <w:sz w:val="24"/>
        </w:rPr>
      </w:pPr>
      <w:r>
        <w:rPr>
          <w:rFonts w:hint="eastAsia" w:ascii="Times New Roman" w:hAnsi="Times New Roman"/>
          <w:color w:val="000000"/>
          <w:sz w:val="22"/>
        </w:rPr>
        <w:t>(All information in this document is authentic in Chinese. English is provided for reference only. In case of any discrepancy, the Chinese version shall prevail.)</w:t>
      </w:r>
    </w:p>
    <w:sectPr>
      <w:headerReference r:id="rId3" w:type="default"/>
      <w:footerReference r:id="rId4" w:type="default"/>
      <w:pgSz w:w="11906" w:h="16838"/>
      <w:pgMar w:top="1440" w:right="1800" w:bottom="1440" w:left="1800" w:header="851" w:footer="992" w:gutter="0"/>
      <w:pgNumType w:fmt="numberInDash"/>
      <w:cols w:space="708"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3" o:spid="_x0000_s3073" o:spt="202" type="#_x0000_t202" style="position:absolute;left:0pt;margin-top:0pt;height:18.15pt;width:35.05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- 4 -</w:t>
                </w:r>
                <w:r>
                  <w:rPr>
                    <w:rFonts w:hint="eastAsia" w:ascii="宋体" w:hAnsi="宋体" w:cs="宋体"/>
                    <w:sz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7F26"/>
    <w:rsid w:val="000C69A7"/>
    <w:rsid w:val="001A2B38"/>
    <w:rsid w:val="0026557A"/>
    <w:rsid w:val="003C77B7"/>
    <w:rsid w:val="0096272E"/>
    <w:rsid w:val="009F7F26"/>
    <w:rsid w:val="00A97D59"/>
    <w:rsid w:val="00C90028"/>
    <w:rsid w:val="00DE223B"/>
    <w:rsid w:val="00EE54FF"/>
    <w:rsid w:val="2A37643D"/>
    <w:rsid w:val="45A0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9"/>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600" w:lineRule="exact"/>
    </w:pPr>
    <w:rPr>
      <w:rFonts w:ascii="Times New Roman" w:hAnsi="Times New Roman"/>
      <w:kern w:val="0"/>
      <w:sz w:val="24"/>
      <w:szCs w:val="24"/>
    </w:rPr>
  </w:style>
  <w:style w:type="paragraph" w:styleId="4">
    <w:name w:val="Body Text Indent"/>
    <w:basedOn w:val="1"/>
    <w:uiPriority w:val="0"/>
    <w:pPr>
      <w:spacing w:after="120"/>
      <w:ind w:left="420" w:leftChars="200"/>
    </w:pPr>
  </w:style>
  <w:style w:type="paragraph" w:styleId="5">
    <w:name w:val="Block Text"/>
    <w:basedOn w:val="1"/>
    <w:qFormat/>
    <w:uiPriority w:val="0"/>
    <w:pPr>
      <w:spacing w:before="312" w:beforeLines="100" w:line="500" w:lineRule="exact"/>
      <w:ind w:left="-85" w:right="-73" w:firstLine="493"/>
    </w:pPr>
    <w:rPr>
      <w:rFonts w:ascii="Times New Roman" w:hAnsi="Times New Roman"/>
      <w:sz w:val="24"/>
      <w:szCs w:val="24"/>
    </w:rPr>
  </w:style>
  <w:style w:type="paragraph" w:styleId="6">
    <w:name w:val="Balloon Text"/>
    <w:basedOn w:val="1"/>
    <w:link w:val="13"/>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批注框文本 Char"/>
    <w:link w:val="6"/>
    <w:semiHidden/>
    <w:qFormat/>
    <w:uiPriority w:val="99"/>
    <w:rPr>
      <w:kern w:val="2"/>
      <w:sz w:val="18"/>
      <w:szCs w:val="18"/>
    </w:rPr>
  </w:style>
  <w:style w:type="character" w:customStyle="1" w:styleId="14">
    <w:name w:val="页脚 Char"/>
    <w:link w:val="7"/>
    <w:qFormat/>
    <w:uiPriority w:val="99"/>
    <w:rPr>
      <w:kern w:val="2"/>
      <w:sz w:val="18"/>
      <w:szCs w:val="18"/>
    </w:rPr>
  </w:style>
  <w:style w:type="character" w:customStyle="1" w:styleId="15">
    <w:name w:val="页眉 Char"/>
    <w:link w:val="8"/>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E5485-552F-426A-AAE9-A9920ABD265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1177</Words>
  <Characters>6713</Characters>
  <Lines>55</Lines>
  <Paragraphs>15</Paragraphs>
  <TotalTime>150</TotalTime>
  <ScaleCrop>false</ScaleCrop>
  <LinksUpToDate>false</LinksUpToDate>
  <CharactersWithSpaces>7875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2020-06-30T10:35:00Z</dcterms:created>
  <dc:creator>dreamsummit</dc:creator>
  <cp:lastModifiedBy>丁燕</cp:lastModifiedBy>
  <cp:lastPrinted>2020-06-29T08:06:00Z</cp:lastPrinted>
  <dcterms:modified xsi:type="dcterms:W3CDTF">2022-02-17T03:27:36Z</dcterms:modified>
  <dc:title>北京住房公积金管理中心文件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254E1C49BCBE423EA63339910458D7B5</vt:lpwstr>
  </property>
  <property fmtid="{D5CDD505-2E9C-101B-9397-08002B2CF9AE}" pid="3" name="KSOProductBuildVer">
    <vt:lpwstr>2052-11.1.0.11294</vt:lpwstr>
  </property>
</Properties>
</file>