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DE2F8" w14:textId="1F508575" w:rsidR="009536CD" w:rsidRPr="009536CD" w:rsidRDefault="009536CD" w:rsidP="009536CD">
      <w:pPr>
        <w:widowControl w:val="0"/>
        <w:ind w:firstLineChars="0" w:firstLine="0"/>
        <w:jc w:val="left"/>
        <w:rPr>
          <w:rFonts w:ascii="Times New Roman" w:eastAsia="黑体" w:hAnsi="Times New Roman"/>
          <w:kern w:val="0"/>
          <w:sz w:val="32"/>
          <w:szCs w:val="32"/>
          <w:lang w:eastAsia="en-US"/>
        </w:rPr>
      </w:pPr>
      <w:r w:rsidRPr="009536CD">
        <w:rPr>
          <w:rFonts w:ascii="Times New Roman" w:eastAsia="黑体" w:hAnsi="Times New Roman"/>
          <w:kern w:val="0"/>
          <w:sz w:val="32"/>
          <w:szCs w:val="32"/>
          <w:lang w:eastAsia="en-US"/>
        </w:rPr>
        <w:t>Appendix</w:t>
      </w:r>
      <w:r w:rsidR="002D4047">
        <w:rPr>
          <w:rFonts w:ascii="Times New Roman" w:eastAsia="黑体" w:hAnsi="Times New Roman"/>
          <w:kern w:val="0"/>
          <w:sz w:val="32"/>
          <w:szCs w:val="32"/>
          <w:lang w:eastAsia="en-US"/>
        </w:rPr>
        <w:t xml:space="preserve"> 1</w:t>
      </w:r>
    </w:p>
    <w:p w14:paraId="646947F7" w14:textId="77777777" w:rsidR="009536CD" w:rsidRPr="009536CD" w:rsidRDefault="009536CD" w:rsidP="009536CD">
      <w:pPr>
        <w:widowControl w:val="0"/>
        <w:ind w:left="1" w:firstLineChars="0" w:firstLine="0"/>
        <w:outlineLvl w:val="1"/>
        <w:rPr>
          <w:rFonts w:ascii="Times New Roman" w:eastAsia="方正小标宋简体" w:hAnsi="Times New Roman"/>
          <w:kern w:val="0"/>
          <w:sz w:val="36"/>
          <w:szCs w:val="36"/>
          <w:lang w:eastAsia="en-US"/>
        </w:rPr>
      </w:pPr>
      <w:r w:rsidRPr="009536CD">
        <w:rPr>
          <w:rFonts w:ascii="Times New Roman" w:eastAsia="方正小标宋简体" w:hAnsi="Times New Roman"/>
          <w:kern w:val="0"/>
          <w:sz w:val="36"/>
          <w:szCs w:val="36"/>
          <w:lang w:eastAsia="en-US"/>
        </w:rPr>
        <w:t>List of Simple and Low-risk Construction Projects</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3683"/>
        <w:gridCol w:w="4359"/>
        <w:gridCol w:w="3742"/>
      </w:tblGrid>
      <w:tr w:rsidR="009536CD" w:rsidRPr="009536CD" w14:paraId="3435ADA7" w14:textId="77777777" w:rsidTr="00077838">
        <w:trPr>
          <w:trHeight w:hRule="exact" w:val="867"/>
        </w:trPr>
        <w:tc>
          <w:tcPr>
            <w:tcW w:w="377" w:type="pct"/>
            <w:vAlign w:val="center"/>
          </w:tcPr>
          <w:p w14:paraId="35FAC2F2" w14:textId="77777777" w:rsidR="009536CD" w:rsidRPr="009536CD" w:rsidRDefault="009536CD" w:rsidP="009536CD">
            <w:pPr>
              <w:spacing w:line="320" w:lineRule="exact"/>
              <w:ind w:leftChars="2" w:left="6"/>
              <w:rPr>
                <w:rFonts w:ascii="Times New Roman" w:eastAsia="仿宋_GB2312" w:hAnsi="Times New Roman"/>
                <w:szCs w:val="28"/>
              </w:rPr>
            </w:pPr>
            <w:r w:rsidRPr="009536CD">
              <w:rPr>
                <w:rFonts w:ascii="Times New Roman" w:eastAsia="仿宋_GB2312" w:hAnsi="Times New Roman"/>
                <w:szCs w:val="28"/>
              </w:rPr>
              <w:t>Nature of building</w:t>
            </w:r>
          </w:p>
        </w:tc>
        <w:tc>
          <w:tcPr>
            <w:tcW w:w="1445" w:type="pct"/>
            <w:vAlign w:val="center"/>
          </w:tcPr>
          <w:p w14:paraId="70158D30" w14:textId="77777777" w:rsidR="009536CD" w:rsidRPr="009536CD" w:rsidRDefault="009536CD" w:rsidP="009536CD">
            <w:pPr>
              <w:spacing w:line="320" w:lineRule="exact"/>
              <w:ind w:leftChars="52" w:left="149" w:hangingChars="1" w:hanging="3"/>
              <w:rPr>
                <w:rFonts w:ascii="Times New Roman" w:eastAsia="仿宋_GB2312" w:hAnsi="Times New Roman"/>
                <w:szCs w:val="28"/>
              </w:rPr>
            </w:pPr>
            <w:r w:rsidRPr="009536CD">
              <w:rPr>
                <w:rFonts w:ascii="Times New Roman" w:eastAsia="仿宋_GB2312" w:hAnsi="Times New Roman"/>
                <w:szCs w:val="28"/>
              </w:rPr>
              <w:t>Restrictions on use</w:t>
            </w:r>
          </w:p>
        </w:tc>
        <w:tc>
          <w:tcPr>
            <w:tcW w:w="1710" w:type="pct"/>
            <w:vAlign w:val="center"/>
          </w:tcPr>
          <w:p w14:paraId="05D64B06" w14:textId="77777777" w:rsidR="009536CD" w:rsidRPr="009536CD" w:rsidRDefault="009536CD" w:rsidP="009536CD">
            <w:pPr>
              <w:spacing w:line="320" w:lineRule="exact"/>
              <w:rPr>
                <w:rFonts w:ascii="Times New Roman" w:eastAsia="仿宋_GB2312" w:hAnsi="Times New Roman"/>
                <w:szCs w:val="28"/>
              </w:rPr>
            </w:pPr>
            <w:r w:rsidRPr="009536CD">
              <w:rPr>
                <w:rFonts w:ascii="Times New Roman" w:eastAsia="仿宋_GB2312" w:hAnsi="Times New Roman"/>
                <w:szCs w:val="28"/>
              </w:rPr>
              <w:t>Floor area</w:t>
            </w:r>
          </w:p>
        </w:tc>
        <w:tc>
          <w:tcPr>
            <w:tcW w:w="1468" w:type="pct"/>
            <w:vAlign w:val="center"/>
          </w:tcPr>
          <w:p w14:paraId="0908DDE7" w14:textId="77777777" w:rsidR="009536CD" w:rsidRPr="009536CD" w:rsidRDefault="009536CD" w:rsidP="009536CD">
            <w:pPr>
              <w:spacing w:line="320" w:lineRule="exact"/>
              <w:ind w:left="2"/>
              <w:rPr>
                <w:rFonts w:ascii="Times New Roman" w:eastAsia="仿宋_GB2312" w:hAnsi="Times New Roman"/>
                <w:szCs w:val="28"/>
              </w:rPr>
            </w:pPr>
            <w:r w:rsidRPr="009536CD">
              <w:rPr>
                <w:rFonts w:ascii="Times New Roman" w:eastAsia="仿宋_GB2312" w:hAnsi="Times New Roman"/>
                <w:szCs w:val="28"/>
              </w:rPr>
              <w:t>Location</w:t>
            </w:r>
          </w:p>
        </w:tc>
      </w:tr>
    </w:tbl>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3091"/>
        <w:gridCol w:w="3768"/>
        <w:gridCol w:w="3151"/>
      </w:tblGrid>
      <w:tr w:rsidR="009536CD" w:rsidRPr="009536CD" w14:paraId="54AD3B76" w14:textId="77777777" w:rsidTr="00077838">
        <w:trPr>
          <w:trHeight w:val="2966"/>
        </w:trPr>
        <w:tc>
          <w:tcPr>
            <w:tcW w:w="377" w:type="pct"/>
            <w:vAlign w:val="center"/>
          </w:tcPr>
          <w:p w14:paraId="0A53A521" w14:textId="77777777" w:rsidR="009536CD" w:rsidRPr="009536CD" w:rsidRDefault="009536CD" w:rsidP="009536CD">
            <w:pPr>
              <w:widowControl w:val="0"/>
              <w:spacing w:line="320" w:lineRule="exact"/>
              <w:ind w:leftChars="2" w:left="6" w:firstLineChars="0" w:firstLine="0"/>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Office</w:t>
            </w:r>
          </w:p>
        </w:tc>
        <w:tc>
          <w:tcPr>
            <w:tcW w:w="1445" w:type="pct"/>
            <w:vAlign w:val="center"/>
          </w:tcPr>
          <w:p w14:paraId="45F2A513" w14:textId="77777777" w:rsidR="009536CD" w:rsidRPr="009536CD" w:rsidRDefault="009536CD" w:rsidP="009536CD">
            <w:pPr>
              <w:widowControl w:val="0"/>
              <w:spacing w:line="320" w:lineRule="exact"/>
              <w:ind w:left="9"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Without a chemical or biological laboratory; construction projects of developing underground space by making use of green land, square</w:t>
            </w:r>
            <w:r w:rsidRPr="009536CD">
              <w:rPr>
                <w:rFonts w:ascii="Times New Roman" w:eastAsia="仿宋_GB2312" w:hAnsi="Times New Roman" w:hint="eastAsia"/>
                <w:kern w:val="0"/>
                <w:szCs w:val="28"/>
              </w:rPr>
              <w:t xml:space="preserve"> land</w:t>
            </w:r>
            <w:r w:rsidRPr="009536CD">
              <w:rPr>
                <w:rFonts w:ascii="Times New Roman" w:eastAsia="仿宋_GB2312" w:hAnsi="Times New Roman"/>
                <w:kern w:val="0"/>
                <w:szCs w:val="28"/>
                <w:lang w:eastAsia="en-US"/>
              </w:rPr>
              <w:t>, urban road land, social parking land and other urban traffic land are excluded.</w:t>
            </w:r>
          </w:p>
        </w:tc>
        <w:tc>
          <w:tcPr>
            <w:tcW w:w="1710" w:type="pct"/>
            <w:vAlign w:val="center"/>
          </w:tcPr>
          <w:p w14:paraId="08B3ABB0" w14:textId="77777777" w:rsidR="009536CD" w:rsidRPr="009536CD" w:rsidRDefault="009536CD" w:rsidP="009536CD">
            <w:pPr>
              <w:widowControl w:val="0"/>
              <w:spacing w:line="320" w:lineRule="exact"/>
              <w:ind w:left="9"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Above-ground floor area no larger than 10,000m</w:t>
            </w:r>
            <w:r w:rsidRPr="009536CD">
              <w:rPr>
                <w:rFonts w:ascii="Times New Roman" w:eastAsia="仿宋_GB2312" w:hAnsi="Times New Roman"/>
                <w:kern w:val="0"/>
                <w:szCs w:val="28"/>
                <w:vertAlign w:val="superscript"/>
                <w:lang w:eastAsia="en-US"/>
              </w:rPr>
              <w:t>2</w:t>
            </w:r>
            <w:r w:rsidRPr="009536CD">
              <w:rPr>
                <w:rFonts w:ascii="Times New Roman" w:eastAsia="仿宋_GB2312" w:hAnsi="Times New Roman"/>
                <w:kern w:val="0"/>
                <w:szCs w:val="28"/>
                <w:lang w:eastAsia="en-US"/>
              </w:rPr>
              <w:t xml:space="preserve"> and building’s height of no more than 24m.</w:t>
            </w:r>
          </w:p>
        </w:tc>
        <w:tc>
          <w:tcPr>
            <w:tcW w:w="1468" w:type="pct"/>
            <w:vMerge w:val="restart"/>
            <w:vAlign w:val="center"/>
          </w:tcPr>
          <w:p w14:paraId="6FCE33FC" w14:textId="77777777" w:rsidR="009536CD" w:rsidRPr="009536CD" w:rsidRDefault="009536CD" w:rsidP="009536CD">
            <w:pPr>
              <w:widowControl w:val="0"/>
              <w:spacing w:line="320" w:lineRule="exact"/>
              <w:ind w:left="9"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 xml:space="preserve">Located in the planned area for urban and rural construction, with sound municipal pipelines whose access requires no destruction to urban main roads or expressways; no need to occupy forest land and the protection range of ancient and famous trees or to cut down and relocate trees; not adjacent to Chang’an Avenue and its extension line, central axis and its extension line, and Tian’anmen Square; not located within the scope of cultural relics protection site, the construction-restricted </w:t>
            </w:r>
            <w:r w:rsidRPr="009536CD">
              <w:rPr>
                <w:rFonts w:ascii="Times New Roman" w:eastAsia="仿宋_GB2312" w:hAnsi="Times New Roman"/>
                <w:kern w:val="0"/>
                <w:szCs w:val="28"/>
                <w:lang w:eastAsia="en-US"/>
              </w:rPr>
              <w:lastRenderedPageBreak/>
              <w:t xml:space="preserve">zone, the area of underground archaeological remains, or the environmentally sensitive areas determined by the </w:t>
            </w:r>
            <w:r w:rsidRPr="009536CD">
              <w:rPr>
                <w:rFonts w:ascii="Times New Roman" w:eastAsia="仿宋_GB2312" w:hAnsi="Times New Roman"/>
                <w:i/>
                <w:iCs/>
                <w:kern w:val="0"/>
                <w:szCs w:val="28"/>
                <w:lang w:eastAsia="en-US"/>
              </w:rPr>
              <w:t>Classified Management Catalogue of Environmental Impact Assessment of Construction Projects</w:t>
            </w:r>
            <w:r w:rsidRPr="009536CD">
              <w:rPr>
                <w:rFonts w:ascii="Times New Roman" w:eastAsia="仿宋_GB2312" w:hAnsi="Times New Roman"/>
                <w:kern w:val="0"/>
                <w:szCs w:val="28"/>
                <w:lang w:eastAsia="en-US"/>
              </w:rPr>
              <w:t>, and not located within the security control area of confidential organizations and subway.</w:t>
            </w:r>
          </w:p>
        </w:tc>
      </w:tr>
      <w:tr w:rsidR="009536CD" w:rsidRPr="009536CD" w14:paraId="6852AF35" w14:textId="77777777" w:rsidTr="00077838">
        <w:trPr>
          <w:trHeight w:val="3571"/>
        </w:trPr>
        <w:tc>
          <w:tcPr>
            <w:tcW w:w="377" w:type="pct"/>
            <w:vAlign w:val="center"/>
          </w:tcPr>
          <w:p w14:paraId="14CF13E2" w14:textId="77777777" w:rsidR="009536CD" w:rsidRPr="009536CD" w:rsidRDefault="009536CD" w:rsidP="009536CD">
            <w:pPr>
              <w:widowControl w:val="0"/>
              <w:spacing w:line="320" w:lineRule="exact"/>
              <w:ind w:leftChars="2" w:left="6" w:firstLineChars="0" w:firstLine="0"/>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Commercial use</w:t>
            </w:r>
          </w:p>
        </w:tc>
        <w:tc>
          <w:tcPr>
            <w:tcW w:w="1445" w:type="pct"/>
            <w:vAlign w:val="center"/>
          </w:tcPr>
          <w:p w14:paraId="673A7BCC" w14:textId="77777777" w:rsidR="009536CD" w:rsidRPr="009536CD" w:rsidRDefault="009536CD" w:rsidP="009536CD">
            <w:pPr>
              <w:widowControl w:val="0"/>
              <w:spacing w:line="320" w:lineRule="exact"/>
              <w:ind w:left="9"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 xml:space="preserve">Not for selling flammable, explosive, toxic or hazardous materials, and not producing soot and odor; construction projects of developing underground space by making use of green land, square land, urban road land, social parking land and other </w:t>
            </w:r>
            <w:r w:rsidRPr="009536CD">
              <w:rPr>
                <w:rFonts w:ascii="Times New Roman" w:eastAsia="仿宋_GB2312" w:hAnsi="Times New Roman"/>
                <w:kern w:val="0"/>
                <w:szCs w:val="28"/>
                <w:lang w:eastAsia="en-US"/>
              </w:rPr>
              <w:lastRenderedPageBreak/>
              <w:t>urban traffic land are excluded.</w:t>
            </w:r>
          </w:p>
        </w:tc>
        <w:tc>
          <w:tcPr>
            <w:tcW w:w="1710" w:type="pct"/>
            <w:vAlign w:val="center"/>
          </w:tcPr>
          <w:p w14:paraId="49AC31E0" w14:textId="77777777" w:rsidR="009536CD" w:rsidRPr="009536CD" w:rsidRDefault="009536CD" w:rsidP="009536CD">
            <w:pPr>
              <w:widowControl w:val="0"/>
              <w:spacing w:line="320" w:lineRule="exact"/>
              <w:ind w:left="9"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lastRenderedPageBreak/>
              <w:t>Total the above-ground floor area no larger than 500m</w:t>
            </w:r>
            <w:r w:rsidRPr="009536CD">
              <w:rPr>
                <w:rFonts w:ascii="Times New Roman" w:eastAsia="仿宋_GB2312" w:hAnsi="Times New Roman"/>
                <w:kern w:val="0"/>
                <w:szCs w:val="28"/>
                <w:vertAlign w:val="superscript"/>
                <w:lang w:eastAsia="en-US"/>
              </w:rPr>
              <w:t>2</w:t>
            </w:r>
            <w:r w:rsidRPr="009536CD">
              <w:rPr>
                <w:rFonts w:ascii="Times New Roman" w:eastAsia="仿宋_GB2312" w:hAnsi="Times New Roman"/>
                <w:kern w:val="0"/>
                <w:szCs w:val="28"/>
                <w:lang w:eastAsia="en-US"/>
              </w:rPr>
              <w:t xml:space="preserve"> for dancing hall, video hall, screening room, karaoke lounge, night club, entertainment hall, sauna, or bar, and restaurant, teahouse or coffee shop with entertainment function; above-ground floor area no larger than 10,000m</w:t>
            </w:r>
            <w:r w:rsidRPr="009536CD">
              <w:rPr>
                <w:rFonts w:ascii="Times New Roman" w:eastAsia="仿宋_GB2312" w:hAnsi="Times New Roman"/>
                <w:kern w:val="0"/>
                <w:szCs w:val="28"/>
                <w:vertAlign w:val="superscript"/>
                <w:lang w:eastAsia="en-US"/>
              </w:rPr>
              <w:t>2</w:t>
            </w:r>
            <w:r w:rsidRPr="009536CD">
              <w:rPr>
                <w:rFonts w:ascii="Times New Roman" w:eastAsia="仿宋_GB2312" w:hAnsi="Times New Roman"/>
                <w:kern w:val="0"/>
                <w:szCs w:val="28"/>
                <w:lang w:eastAsia="en-US"/>
              </w:rPr>
              <w:t xml:space="preserve"> and building’s height of no </w:t>
            </w:r>
            <w:r w:rsidRPr="009536CD">
              <w:rPr>
                <w:rFonts w:ascii="Times New Roman" w:eastAsia="仿宋_GB2312" w:hAnsi="Times New Roman"/>
                <w:kern w:val="0"/>
                <w:szCs w:val="28"/>
                <w:lang w:eastAsia="en-US"/>
              </w:rPr>
              <w:lastRenderedPageBreak/>
              <w:t>more than 24m for other buildings.</w:t>
            </w:r>
          </w:p>
        </w:tc>
        <w:tc>
          <w:tcPr>
            <w:tcW w:w="1468" w:type="pct"/>
            <w:vMerge/>
            <w:vAlign w:val="center"/>
          </w:tcPr>
          <w:p w14:paraId="6E02465F" w14:textId="77777777" w:rsidR="009536CD" w:rsidRPr="009536CD" w:rsidRDefault="009536CD" w:rsidP="009536CD">
            <w:pPr>
              <w:widowControl w:val="0"/>
              <w:spacing w:line="320" w:lineRule="exact"/>
              <w:ind w:left="9" w:firstLineChars="0" w:firstLine="0"/>
              <w:jc w:val="both"/>
              <w:rPr>
                <w:rFonts w:ascii="Times New Roman" w:eastAsia="仿宋_GB2312" w:hAnsi="Times New Roman"/>
                <w:kern w:val="0"/>
                <w:szCs w:val="28"/>
                <w:lang w:eastAsia="en-US"/>
              </w:rPr>
            </w:pPr>
          </w:p>
        </w:tc>
      </w:tr>
      <w:tr w:rsidR="009536CD" w:rsidRPr="009536CD" w14:paraId="253CEA2E" w14:textId="77777777" w:rsidTr="00077838">
        <w:trPr>
          <w:trHeight w:val="569"/>
        </w:trPr>
        <w:tc>
          <w:tcPr>
            <w:tcW w:w="377" w:type="pct"/>
            <w:vAlign w:val="center"/>
          </w:tcPr>
          <w:p w14:paraId="47187878" w14:textId="77777777" w:rsidR="009536CD" w:rsidRPr="009536CD" w:rsidRDefault="009536CD" w:rsidP="009536CD">
            <w:pPr>
              <w:widowControl w:val="0"/>
              <w:spacing w:line="320" w:lineRule="exact"/>
              <w:ind w:right="153" w:firstLineChars="0" w:firstLine="0"/>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Public service facilities</w:t>
            </w:r>
          </w:p>
        </w:tc>
        <w:tc>
          <w:tcPr>
            <w:tcW w:w="1445" w:type="pct"/>
            <w:vAlign w:val="center"/>
          </w:tcPr>
          <w:p w14:paraId="10D262DF" w14:textId="77777777" w:rsidR="009536CD" w:rsidRPr="009536CD" w:rsidRDefault="009536CD" w:rsidP="009536CD">
            <w:pPr>
              <w:widowControl w:val="0"/>
              <w:spacing w:line="320" w:lineRule="exact"/>
              <w:ind w:right="7"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Without a chemical or biological laboratory; construction projects of developing underground space by making use of green land, square land, urban road land, social parking land and other urban traffic land are excluded.</w:t>
            </w:r>
          </w:p>
        </w:tc>
        <w:tc>
          <w:tcPr>
            <w:tcW w:w="1710" w:type="pct"/>
            <w:vAlign w:val="center"/>
          </w:tcPr>
          <w:p w14:paraId="7227BF3A" w14:textId="77777777" w:rsidR="009536CD" w:rsidRPr="009536CD" w:rsidRDefault="009536CD" w:rsidP="009536CD">
            <w:pPr>
              <w:widowControl w:val="0"/>
              <w:spacing w:line="320" w:lineRule="exact"/>
              <w:ind w:right="9"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Total floor area no larger than 2,500m</w:t>
            </w:r>
            <w:r w:rsidRPr="009536CD">
              <w:rPr>
                <w:rFonts w:ascii="Times New Roman" w:eastAsia="仿宋_GB2312" w:hAnsi="Times New Roman"/>
                <w:kern w:val="0"/>
                <w:szCs w:val="28"/>
                <w:vertAlign w:val="superscript"/>
                <w:lang w:eastAsia="en-US"/>
              </w:rPr>
              <w:t>2</w:t>
            </w:r>
            <w:r w:rsidRPr="009536CD">
              <w:rPr>
                <w:rFonts w:ascii="Times New Roman" w:eastAsia="仿宋_GB2312" w:hAnsi="Times New Roman"/>
                <w:kern w:val="0"/>
                <w:szCs w:val="28"/>
                <w:lang w:eastAsia="en-US"/>
              </w:rPr>
              <w:t xml:space="preserve"> for cinema, reading room of public library, commercial indoor fitness or recreation club, outpatient building of hospital, teaching building, library or canteen of university, temple or church. Total floor area no larger than 1,000m</w:t>
            </w:r>
            <w:r w:rsidRPr="009536CD">
              <w:rPr>
                <w:rFonts w:ascii="Times New Roman" w:eastAsia="仿宋_GB2312" w:hAnsi="Times New Roman"/>
                <w:kern w:val="0"/>
                <w:szCs w:val="28"/>
                <w:vertAlign w:val="superscript"/>
                <w:lang w:eastAsia="en-US"/>
              </w:rPr>
              <w:t>2</w:t>
            </w:r>
            <w:r w:rsidRPr="009536CD">
              <w:rPr>
                <w:rFonts w:ascii="Times New Roman" w:eastAsia="仿宋_GB2312" w:hAnsi="Times New Roman"/>
                <w:kern w:val="0"/>
                <w:szCs w:val="28"/>
                <w:lang w:eastAsia="en-US"/>
              </w:rPr>
              <w:t xml:space="preserve"> for children rooms of nursery or kindergarten, indoor children activity places including children amusement </w:t>
            </w:r>
            <w:r w:rsidRPr="009536CD">
              <w:rPr>
                <w:rFonts w:ascii="Times New Roman" w:eastAsia="仿宋_GB2312" w:hAnsi="Times New Roman"/>
                <w:kern w:val="0"/>
                <w:szCs w:val="28"/>
                <w:lang w:eastAsia="en-US"/>
              </w:rPr>
              <w:lastRenderedPageBreak/>
              <w:t>arcade, nursing home,  welfare house, patient building of hospital or sanatorium, teaching buildings, library or canteen of primary or middle school, collective dormitory of school or staff dormitory of labor intensive enterprise; above-ground floor area no larger than 10,000m</w:t>
            </w:r>
            <w:r w:rsidRPr="009536CD">
              <w:rPr>
                <w:rFonts w:ascii="Times New Roman" w:eastAsia="仿宋_GB2312" w:hAnsi="Times New Roman"/>
                <w:kern w:val="0"/>
                <w:szCs w:val="28"/>
                <w:vertAlign w:val="superscript"/>
                <w:lang w:eastAsia="en-US"/>
              </w:rPr>
              <w:t>2</w:t>
            </w:r>
            <w:r w:rsidRPr="009536CD">
              <w:rPr>
                <w:rFonts w:ascii="Times New Roman" w:eastAsia="仿宋_GB2312" w:hAnsi="Times New Roman"/>
                <w:kern w:val="0"/>
                <w:szCs w:val="28"/>
                <w:lang w:eastAsia="en-US"/>
              </w:rPr>
              <w:t xml:space="preserve"> and building height no more than 24m for other buildings.</w:t>
            </w:r>
          </w:p>
        </w:tc>
        <w:tc>
          <w:tcPr>
            <w:tcW w:w="1468" w:type="pct"/>
            <w:vAlign w:val="center"/>
          </w:tcPr>
          <w:p w14:paraId="79E01971" w14:textId="77777777" w:rsidR="009536CD" w:rsidRPr="009536CD" w:rsidRDefault="009536CD" w:rsidP="009536CD">
            <w:pPr>
              <w:widowControl w:val="0"/>
              <w:spacing w:line="320" w:lineRule="exact"/>
              <w:ind w:right="8"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lastRenderedPageBreak/>
              <w:t xml:space="preserve">Located in the planned area for urban and rural construction, with sound municipal pipelines whose access requires no destruction to urban main roads or expressways; no need to occupy forest land and the protection range of ancient and famous trees or to cut down and relocate trees; not adjacent to Chang’an </w:t>
            </w:r>
            <w:r w:rsidRPr="009536CD">
              <w:rPr>
                <w:rFonts w:ascii="Times New Roman" w:eastAsia="仿宋_GB2312" w:hAnsi="Times New Roman"/>
                <w:kern w:val="0"/>
                <w:szCs w:val="28"/>
                <w:lang w:eastAsia="en-US"/>
              </w:rPr>
              <w:lastRenderedPageBreak/>
              <w:t xml:space="preserve">Avenue and its extension line, central axis and its extension line, and Tian’anmen Square; not located within the scope of cultural relics protection site, the construction-restricted zone, the area of underground archaeological remains, or the environmentally sensitive areas determined by the </w:t>
            </w:r>
            <w:r w:rsidRPr="009536CD">
              <w:rPr>
                <w:rFonts w:ascii="Times New Roman" w:eastAsia="仿宋_GB2312" w:hAnsi="Times New Roman"/>
                <w:i/>
                <w:iCs/>
                <w:kern w:val="0"/>
                <w:szCs w:val="28"/>
                <w:lang w:eastAsia="en-US"/>
              </w:rPr>
              <w:t>Classified Management Catalogue of Environmental Impact Assessment of Construction Projects</w:t>
            </w:r>
            <w:r w:rsidRPr="009536CD">
              <w:rPr>
                <w:rFonts w:ascii="Times New Roman" w:eastAsia="仿宋_GB2312" w:hAnsi="Times New Roman"/>
                <w:kern w:val="0"/>
                <w:szCs w:val="28"/>
                <w:lang w:eastAsia="en-US"/>
              </w:rPr>
              <w:t>, and not located within the security control area of confidential organizations and subway.</w:t>
            </w:r>
          </w:p>
        </w:tc>
      </w:tr>
      <w:tr w:rsidR="009536CD" w:rsidRPr="009536CD" w14:paraId="26C4851C" w14:textId="77777777" w:rsidTr="00077838">
        <w:trPr>
          <w:trHeight w:val="569"/>
        </w:trPr>
        <w:tc>
          <w:tcPr>
            <w:tcW w:w="377" w:type="pct"/>
            <w:vAlign w:val="center"/>
          </w:tcPr>
          <w:p w14:paraId="2CF0B05E" w14:textId="77777777" w:rsidR="009536CD" w:rsidRPr="009536CD" w:rsidRDefault="009536CD" w:rsidP="009536CD">
            <w:pPr>
              <w:widowControl w:val="0"/>
              <w:spacing w:line="320" w:lineRule="exact"/>
              <w:ind w:firstLineChars="0" w:firstLine="0"/>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lastRenderedPageBreak/>
              <w:t>Warehouse</w:t>
            </w:r>
          </w:p>
        </w:tc>
        <w:tc>
          <w:tcPr>
            <w:tcW w:w="1445" w:type="pct"/>
            <w:vAlign w:val="center"/>
          </w:tcPr>
          <w:p w14:paraId="28AACED5" w14:textId="77777777" w:rsidR="009536CD" w:rsidRPr="009536CD" w:rsidRDefault="009536CD" w:rsidP="009536CD">
            <w:pPr>
              <w:widowControl w:val="0"/>
              <w:spacing w:line="320" w:lineRule="exact"/>
              <w:ind w:right="7"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 xml:space="preserve">Not for storing flammable, explosive, toxic or hazardous materials; construction projects of developing </w:t>
            </w:r>
            <w:r w:rsidRPr="009536CD">
              <w:rPr>
                <w:rFonts w:ascii="Times New Roman" w:eastAsia="仿宋_GB2312" w:hAnsi="Times New Roman"/>
                <w:kern w:val="0"/>
                <w:szCs w:val="28"/>
                <w:lang w:eastAsia="en-US"/>
              </w:rPr>
              <w:lastRenderedPageBreak/>
              <w:t>underground space development by making use of green land, square land, urban road land, social parking land and other urban traffic land are excluded.</w:t>
            </w:r>
          </w:p>
        </w:tc>
        <w:tc>
          <w:tcPr>
            <w:tcW w:w="1710" w:type="pct"/>
            <w:vAlign w:val="center"/>
          </w:tcPr>
          <w:p w14:paraId="3BCD7C33" w14:textId="77777777" w:rsidR="009536CD" w:rsidRPr="009536CD" w:rsidRDefault="009536CD" w:rsidP="009536CD">
            <w:pPr>
              <w:widowControl w:val="0"/>
              <w:spacing w:line="320" w:lineRule="exact"/>
              <w:ind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lastRenderedPageBreak/>
              <w:t>Above-ground floor area no larger than 10,000m</w:t>
            </w:r>
            <w:r w:rsidRPr="009536CD">
              <w:rPr>
                <w:rFonts w:ascii="Times New Roman" w:eastAsia="仿宋_GB2312" w:hAnsi="Times New Roman"/>
                <w:kern w:val="0"/>
                <w:szCs w:val="28"/>
                <w:vertAlign w:val="superscript"/>
                <w:lang w:eastAsia="en-US"/>
              </w:rPr>
              <w:t>2</w:t>
            </w:r>
            <w:r w:rsidRPr="009536CD">
              <w:rPr>
                <w:rFonts w:ascii="Times New Roman" w:eastAsia="仿宋_GB2312" w:hAnsi="Times New Roman"/>
                <w:kern w:val="0"/>
                <w:szCs w:val="28"/>
                <w:lang w:eastAsia="en-US"/>
              </w:rPr>
              <w:t xml:space="preserve"> and building’s height </w:t>
            </w:r>
            <w:proofErr w:type="gramStart"/>
            <w:r w:rsidRPr="009536CD">
              <w:rPr>
                <w:rFonts w:ascii="Times New Roman" w:eastAsia="仿宋_GB2312" w:hAnsi="Times New Roman"/>
                <w:kern w:val="0"/>
                <w:szCs w:val="28"/>
                <w:lang w:eastAsia="en-US"/>
              </w:rPr>
              <w:t>of  no</w:t>
            </w:r>
            <w:proofErr w:type="gramEnd"/>
            <w:r w:rsidRPr="009536CD">
              <w:rPr>
                <w:rFonts w:ascii="Times New Roman" w:eastAsia="仿宋_GB2312" w:hAnsi="Times New Roman"/>
                <w:kern w:val="0"/>
                <w:szCs w:val="28"/>
                <w:lang w:eastAsia="en-US"/>
              </w:rPr>
              <w:t xml:space="preserve"> more than 24m.</w:t>
            </w:r>
          </w:p>
        </w:tc>
        <w:tc>
          <w:tcPr>
            <w:tcW w:w="1468" w:type="pct"/>
            <w:vMerge w:val="restart"/>
            <w:vAlign w:val="center"/>
          </w:tcPr>
          <w:p w14:paraId="55227A8E" w14:textId="77777777" w:rsidR="009536CD" w:rsidRPr="009536CD" w:rsidRDefault="009536CD" w:rsidP="009536CD">
            <w:pPr>
              <w:widowControl w:val="0"/>
              <w:spacing w:line="320" w:lineRule="exact"/>
              <w:ind w:right="8"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 xml:space="preserve">Located in the planned area for urban and rural construction, with sound municipal pipelines whose access requires no </w:t>
            </w:r>
            <w:r w:rsidRPr="009536CD">
              <w:rPr>
                <w:rFonts w:ascii="Times New Roman" w:eastAsia="仿宋_GB2312" w:hAnsi="Times New Roman"/>
                <w:kern w:val="0"/>
                <w:szCs w:val="28"/>
                <w:lang w:eastAsia="en-US"/>
              </w:rPr>
              <w:lastRenderedPageBreak/>
              <w:t xml:space="preserve">destruction to urban main roads or expressways; no need to occupy forest land and the protection range of ancient and famous trees or to cut down and relocate trees; not adjacent to Chang’an Avenue and its extension line, central axis and its extension line; not located within the capital function core zone; not located within the scope of cultural relics protection site, the construction-restricted zone, the area of underground archaeological remains, or the environmentally sensitive areas determined by the </w:t>
            </w:r>
            <w:r w:rsidRPr="009536CD">
              <w:rPr>
                <w:rFonts w:ascii="Times New Roman" w:eastAsia="仿宋_GB2312" w:hAnsi="Times New Roman"/>
                <w:i/>
                <w:iCs/>
                <w:kern w:val="0"/>
                <w:szCs w:val="28"/>
                <w:lang w:eastAsia="en-US"/>
              </w:rPr>
              <w:t>Classified Management Catalogue of Environmental Impact Assessment of Construction Projects</w:t>
            </w:r>
            <w:r w:rsidRPr="009536CD">
              <w:rPr>
                <w:rFonts w:ascii="Times New Roman" w:eastAsia="仿宋_GB2312" w:hAnsi="Times New Roman"/>
                <w:kern w:val="0"/>
                <w:szCs w:val="28"/>
                <w:lang w:eastAsia="en-US"/>
              </w:rPr>
              <w:t xml:space="preserve">, and not located within the </w:t>
            </w:r>
            <w:r w:rsidRPr="009536CD">
              <w:rPr>
                <w:rFonts w:ascii="Times New Roman" w:eastAsia="仿宋_GB2312" w:hAnsi="Times New Roman"/>
                <w:kern w:val="0"/>
                <w:szCs w:val="28"/>
                <w:lang w:eastAsia="en-US"/>
              </w:rPr>
              <w:lastRenderedPageBreak/>
              <w:t>security control area of confidential organizations and subway.</w:t>
            </w:r>
          </w:p>
        </w:tc>
      </w:tr>
      <w:tr w:rsidR="009536CD" w:rsidRPr="009536CD" w14:paraId="655A8AD5" w14:textId="77777777" w:rsidTr="00077838">
        <w:trPr>
          <w:trHeight w:val="569"/>
        </w:trPr>
        <w:tc>
          <w:tcPr>
            <w:tcW w:w="377" w:type="pct"/>
            <w:vAlign w:val="center"/>
          </w:tcPr>
          <w:p w14:paraId="5C334FBF" w14:textId="77777777" w:rsidR="009536CD" w:rsidRPr="009536CD" w:rsidRDefault="009536CD" w:rsidP="009536CD">
            <w:pPr>
              <w:widowControl w:val="0"/>
              <w:spacing w:line="320" w:lineRule="exact"/>
              <w:ind w:leftChars="2" w:left="6" w:firstLineChars="0" w:firstLine="0"/>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lastRenderedPageBreak/>
              <w:t>Plant</w:t>
            </w:r>
          </w:p>
        </w:tc>
        <w:tc>
          <w:tcPr>
            <w:tcW w:w="1445" w:type="pct"/>
            <w:vAlign w:val="center"/>
          </w:tcPr>
          <w:p w14:paraId="378744A7" w14:textId="77777777" w:rsidR="009536CD" w:rsidRPr="009536CD" w:rsidRDefault="009536CD" w:rsidP="009536CD">
            <w:pPr>
              <w:widowControl w:val="0"/>
              <w:spacing w:line="320" w:lineRule="exact"/>
              <w:ind w:left="9" w:firstLineChars="0" w:firstLine="0"/>
              <w:jc w:val="left"/>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Not for producing flammable, explosive, toxic or hazardous materials; construction projects of developing underground space development by making use of green land, square land, urban road land, social parking land and other urban traffic land are excluded.</w:t>
            </w:r>
          </w:p>
        </w:tc>
        <w:tc>
          <w:tcPr>
            <w:tcW w:w="1710" w:type="pct"/>
            <w:vAlign w:val="center"/>
          </w:tcPr>
          <w:p w14:paraId="5B619495" w14:textId="77777777" w:rsidR="009536CD" w:rsidRPr="009536CD" w:rsidRDefault="009536CD" w:rsidP="009536CD">
            <w:pPr>
              <w:widowControl w:val="0"/>
              <w:spacing w:line="320" w:lineRule="exact"/>
              <w:ind w:left="9" w:firstLineChars="0" w:firstLine="0"/>
              <w:jc w:val="both"/>
              <w:rPr>
                <w:rFonts w:ascii="Times New Roman" w:eastAsia="仿宋_GB2312" w:hAnsi="Times New Roman"/>
                <w:kern w:val="0"/>
                <w:szCs w:val="28"/>
                <w:lang w:eastAsia="en-US"/>
              </w:rPr>
            </w:pPr>
            <w:r w:rsidRPr="009536CD">
              <w:rPr>
                <w:rFonts w:ascii="Times New Roman" w:eastAsia="仿宋_GB2312" w:hAnsi="Times New Roman"/>
                <w:kern w:val="0"/>
                <w:szCs w:val="28"/>
                <w:lang w:eastAsia="en-US"/>
              </w:rPr>
              <w:t>Total floor area no larger than 2,500m</w:t>
            </w:r>
            <w:r w:rsidRPr="009536CD">
              <w:rPr>
                <w:rFonts w:ascii="Times New Roman" w:eastAsia="仿宋_GB2312" w:hAnsi="Times New Roman"/>
                <w:kern w:val="0"/>
                <w:szCs w:val="28"/>
                <w:vertAlign w:val="superscript"/>
                <w:lang w:eastAsia="en-US"/>
              </w:rPr>
              <w:t>2</w:t>
            </w:r>
            <w:r w:rsidRPr="009536CD">
              <w:rPr>
                <w:rFonts w:ascii="Times New Roman" w:eastAsia="仿宋_GB2312" w:hAnsi="Times New Roman"/>
                <w:kern w:val="0"/>
                <w:szCs w:val="28"/>
                <w:lang w:eastAsia="en-US"/>
              </w:rPr>
              <w:t xml:space="preserve"> for production or processing workshop of </w:t>
            </w:r>
            <w:proofErr w:type="gramStart"/>
            <w:r w:rsidRPr="009536CD">
              <w:rPr>
                <w:rFonts w:ascii="Times New Roman" w:eastAsia="仿宋_GB2312" w:hAnsi="Times New Roman"/>
                <w:kern w:val="0"/>
                <w:szCs w:val="28"/>
                <w:lang w:eastAsia="en-US"/>
              </w:rPr>
              <w:t>labor intensive</w:t>
            </w:r>
            <w:proofErr w:type="gramEnd"/>
            <w:r w:rsidRPr="009536CD">
              <w:rPr>
                <w:rFonts w:ascii="Times New Roman" w:eastAsia="仿宋_GB2312" w:hAnsi="Times New Roman"/>
                <w:kern w:val="0"/>
                <w:szCs w:val="28"/>
                <w:lang w:eastAsia="en-US"/>
              </w:rPr>
              <w:t xml:space="preserve"> enterprise; above-ground floor area no larger than 10,000m</w:t>
            </w:r>
            <w:r w:rsidRPr="009536CD">
              <w:rPr>
                <w:rFonts w:ascii="Times New Roman" w:eastAsia="仿宋_GB2312" w:hAnsi="Times New Roman"/>
                <w:kern w:val="0"/>
                <w:szCs w:val="28"/>
                <w:vertAlign w:val="superscript"/>
                <w:lang w:eastAsia="en-US"/>
              </w:rPr>
              <w:t>2</w:t>
            </w:r>
            <w:r w:rsidRPr="009536CD">
              <w:rPr>
                <w:rFonts w:ascii="Times New Roman" w:eastAsia="仿宋_GB2312" w:hAnsi="Times New Roman"/>
                <w:kern w:val="0"/>
                <w:szCs w:val="28"/>
                <w:lang w:eastAsia="en-US"/>
              </w:rPr>
              <w:t xml:space="preserve"> and building height no more than 24m for other buildings.</w:t>
            </w:r>
          </w:p>
        </w:tc>
        <w:tc>
          <w:tcPr>
            <w:tcW w:w="1468" w:type="pct"/>
            <w:vMerge/>
            <w:vAlign w:val="center"/>
          </w:tcPr>
          <w:p w14:paraId="498DF0C5" w14:textId="77777777" w:rsidR="009536CD" w:rsidRPr="009536CD" w:rsidRDefault="009536CD" w:rsidP="009536CD">
            <w:pPr>
              <w:widowControl w:val="0"/>
              <w:spacing w:line="320" w:lineRule="exact"/>
              <w:ind w:left="9" w:firstLineChars="0" w:firstLine="0"/>
              <w:jc w:val="both"/>
              <w:rPr>
                <w:rFonts w:ascii="Times New Roman" w:eastAsia="仿宋_GB2312" w:hAnsi="Times New Roman"/>
                <w:kern w:val="0"/>
                <w:szCs w:val="28"/>
                <w:lang w:eastAsia="en-US"/>
              </w:rPr>
            </w:pPr>
          </w:p>
        </w:tc>
      </w:tr>
    </w:tbl>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8"/>
        <w:gridCol w:w="3091"/>
        <w:gridCol w:w="3768"/>
        <w:gridCol w:w="3151"/>
      </w:tblGrid>
      <w:tr w:rsidR="009536CD" w:rsidRPr="009536CD" w14:paraId="3345BFFB" w14:textId="77777777" w:rsidTr="00077838">
        <w:trPr>
          <w:trHeight w:val="569"/>
        </w:trPr>
        <w:tc>
          <w:tcPr>
            <w:tcW w:w="163" w:type="pct"/>
            <w:vMerge w:val="restart"/>
            <w:vAlign w:val="center"/>
          </w:tcPr>
          <w:p w14:paraId="5D8D0257" w14:textId="77777777" w:rsidR="009536CD" w:rsidRPr="009536CD" w:rsidRDefault="009536CD" w:rsidP="009536CD">
            <w:pPr>
              <w:spacing w:line="320" w:lineRule="exact"/>
              <w:rPr>
                <w:rFonts w:ascii="Times New Roman" w:eastAsia="仿宋_GB2312" w:hAnsi="Times New Roman"/>
                <w:szCs w:val="28"/>
              </w:rPr>
            </w:pPr>
            <w:r w:rsidRPr="009536CD">
              <w:rPr>
                <w:rFonts w:ascii="Times New Roman" w:eastAsia="仿宋_GB2312" w:hAnsi="Times New Roman"/>
                <w:szCs w:val="28"/>
              </w:rPr>
              <w:t>Residence</w:t>
            </w:r>
          </w:p>
        </w:tc>
        <w:tc>
          <w:tcPr>
            <w:tcW w:w="214" w:type="pct"/>
            <w:vAlign w:val="center"/>
          </w:tcPr>
          <w:p w14:paraId="059FB234" w14:textId="77777777" w:rsidR="009536CD" w:rsidRPr="009536CD" w:rsidRDefault="009536CD" w:rsidP="009536CD">
            <w:pPr>
              <w:spacing w:line="320" w:lineRule="exact"/>
              <w:rPr>
                <w:rFonts w:ascii="Times New Roman" w:eastAsia="仿宋_GB2312" w:hAnsi="Times New Roman"/>
                <w:szCs w:val="28"/>
              </w:rPr>
            </w:pPr>
            <w:r w:rsidRPr="009536CD">
              <w:rPr>
                <w:rFonts w:ascii="Times New Roman" w:eastAsia="仿宋_GB2312" w:hAnsi="Times New Roman"/>
                <w:szCs w:val="28"/>
              </w:rPr>
              <w:t>Bungalow</w:t>
            </w:r>
          </w:p>
        </w:tc>
        <w:tc>
          <w:tcPr>
            <w:tcW w:w="1445" w:type="pct"/>
            <w:vAlign w:val="center"/>
          </w:tcPr>
          <w:p w14:paraId="5A842C43" w14:textId="77777777" w:rsidR="009536CD" w:rsidRPr="009536CD" w:rsidRDefault="009536CD" w:rsidP="009536CD">
            <w:pPr>
              <w:spacing w:line="320" w:lineRule="exact"/>
              <w:ind w:right="10"/>
              <w:jc w:val="both"/>
              <w:rPr>
                <w:rFonts w:ascii="Times New Roman" w:eastAsia="仿宋_GB2312" w:hAnsi="Times New Roman"/>
                <w:szCs w:val="28"/>
              </w:rPr>
            </w:pPr>
            <w:r w:rsidRPr="009536CD">
              <w:rPr>
                <w:rFonts w:ascii="Times New Roman" w:eastAsia="仿宋_GB2312" w:hAnsi="Times New Roman"/>
                <w:szCs w:val="28"/>
              </w:rPr>
              <w:t>Private house is for renovation or rebuilding on the original site only, and projects with common wall and connected ridge are excluded. Contiguous development projects are excluded.</w:t>
            </w:r>
          </w:p>
        </w:tc>
        <w:tc>
          <w:tcPr>
            <w:tcW w:w="1710" w:type="pct"/>
            <w:vAlign w:val="center"/>
          </w:tcPr>
          <w:p w14:paraId="1BA2E919" w14:textId="77777777" w:rsidR="009536CD" w:rsidRPr="009536CD" w:rsidRDefault="009536CD" w:rsidP="009536CD">
            <w:pPr>
              <w:spacing w:line="320" w:lineRule="exact"/>
              <w:jc w:val="both"/>
              <w:rPr>
                <w:rFonts w:ascii="Times New Roman" w:eastAsia="仿宋_GB2312" w:hAnsi="Times New Roman"/>
                <w:szCs w:val="28"/>
              </w:rPr>
            </w:pPr>
            <w:r w:rsidRPr="009536CD">
              <w:rPr>
                <w:rFonts w:ascii="Times New Roman" w:eastAsia="仿宋_GB2312" w:hAnsi="Times New Roman"/>
                <w:szCs w:val="28"/>
              </w:rPr>
              <w:t>Above-ground floor area no larger than 10,000m</w:t>
            </w:r>
            <w:r w:rsidRPr="009536CD">
              <w:rPr>
                <w:rFonts w:ascii="Times New Roman" w:eastAsia="仿宋_GB2312" w:hAnsi="Times New Roman"/>
                <w:szCs w:val="28"/>
                <w:vertAlign w:val="superscript"/>
              </w:rPr>
              <w:t>2</w:t>
            </w:r>
            <w:r w:rsidRPr="009536CD">
              <w:rPr>
                <w:rFonts w:ascii="Times New Roman" w:eastAsia="仿宋_GB2312" w:hAnsi="Times New Roman"/>
                <w:szCs w:val="28"/>
              </w:rPr>
              <w:t xml:space="preserve"> and building height no more than 24m.</w:t>
            </w:r>
          </w:p>
        </w:tc>
        <w:tc>
          <w:tcPr>
            <w:tcW w:w="1468" w:type="pct"/>
            <w:vAlign w:val="center"/>
          </w:tcPr>
          <w:p w14:paraId="53D526FE" w14:textId="77777777" w:rsidR="009536CD" w:rsidRPr="009536CD" w:rsidRDefault="009536CD" w:rsidP="009536CD">
            <w:pPr>
              <w:spacing w:line="320" w:lineRule="exact"/>
              <w:jc w:val="both"/>
              <w:rPr>
                <w:rFonts w:ascii="Times New Roman" w:eastAsia="仿宋_GB2312" w:hAnsi="Times New Roman"/>
                <w:szCs w:val="28"/>
              </w:rPr>
            </w:pPr>
            <w:r w:rsidRPr="009536CD">
              <w:rPr>
                <w:rFonts w:ascii="Times New Roman" w:eastAsia="仿宋_GB2312" w:hAnsi="Times New Roman"/>
                <w:szCs w:val="28"/>
              </w:rPr>
              <w:t xml:space="preserve">Located in the planned area for urban and rural construction, with sound municipal pipelines whose access requires no destruction to urban main roads or expressways; no need to occupy forest land and the protection range of ancient and famous trees or to cut down and relocate trees; not adjacent to Chang’an Avenue and its extension line, central axis and its extension line; not located within the scope of cultural relics protection site, or the environmentally sensitive areas determined by the </w:t>
            </w:r>
            <w:r w:rsidRPr="009536CD">
              <w:rPr>
                <w:rFonts w:ascii="Times New Roman" w:eastAsia="仿宋_GB2312" w:hAnsi="Times New Roman"/>
                <w:i/>
                <w:iCs/>
                <w:szCs w:val="28"/>
              </w:rPr>
              <w:t xml:space="preserve">Classified Management Catalogue of Environmental Impact </w:t>
            </w:r>
            <w:r w:rsidRPr="009536CD">
              <w:rPr>
                <w:rFonts w:ascii="Times New Roman" w:eastAsia="仿宋_GB2312" w:hAnsi="Times New Roman"/>
                <w:i/>
                <w:iCs/>
                <w:szCs w:val="28"/>
              </w:rPr>
              <w:lastRenderedPageBreak/>
              <w:t>Assessment of Construction Projects</w:t>
            </w:r>
            <w:r w:rsidRPr="009536CD">
              <w:rPr>
                <w:rFonts w:ascii="Times New Roman" w:eastAsia="仿宋_GB2312" w:hAnsi="Times New Roman"/>
                <w:szCs w:val="28"/>
              </w:rPr>
              <w:t>, and not located around confidential organizations or within the security control area.</w:t>
            </w:r>
          </w:p>
        </w:tc>
      </w:tr>
      <w:tr w:rsidR="009536CD" w:rsidRPr="009536CD" w14:paraId="11CD634C" w14:textId="77777777" w:rsidTr="00077838">
        <w:trPr>
          <w:trHeight w:val="569"/>
        </w:trPr>
        <w:tc>
          <w:tcPr>
            <w:tcW w:w="163" w:type="pct"/>
            <w:vMerge/>
            <w:vAlign w:val="center"/>
          </w:tcPr>
          <w:p w14:paraId="15E2D4A1" w14:textId="77777777" w:rsidR="009536CD" w:rsidRPr="009536CD" w:rsidRDefault="009536CD" w:rsidP="009536CD">
            <w:pPr>
              <w:spacing w:line="320" w:lineRule="exact"/>
              <w:ind w:leftChars="2" w:left="6"/>
              <w:rPr>
                <w:rFonts w:ascii="Times New Roman" w:eastAsia="仿宋_GB2312" w:hAnsi="Times New Roman"/>
                <w:szCs w:val="28"/>
              </w:rPr>
            </w:pPr>
          </w:p>
        </w:tc>
        <w:tc>
          <w:tcPr>
            <w:tcW w:w="214" w:type="pct"/>
            <w:vAlign w:val="center"/>
          </w:tcPr>
          <w:p w14:paraId="3A03F32A" w14:textId="77777777" w:rsidR="009536CD" w:rsidRPr="009536CD" w:rsidRDefault="009536CD" w:rsidP="009536CD">
            <w:pPr>
              <w:spacing w:line="320" w:lineRule="exact"/>
              <w:ind w:leftChars="2" w:left="6"/>
              <w:rPr>
                <w:rFonts w:ascii="Times New Roman" w:eastAsia="仿宋_GB2312" w:hAnsi="Times New Roman"/>
                <w:szCs w:val="28"/>
              </w:rPr>
            </w:pPr>
            <w:r w:rsidRPr="009536CD">
              <w:rPr>
                <w:rFonts w:ascii="Times New Roman" w:eastAsia="仿宋_GB2312" w:hAnsi="Times New Roman"/>
                <w:szCs w:val="28"/>
              </w:rPr>
              <w:t>Storied house</w:t>
            </w:r>
          </w:p>
        </w:tc>
        <w:tc>
          <w:tcPr>
            <w:tcW w:w="1445" w:type="pct"/>
            <w:vAlign w:val="center"/>
          </w:tcPr>
          <w:p w14:paraId="44946175" w14:textId="77777777" w:rsidR="009536CD" w:rsidRPr="009536CD" w:rsidRDefault="009536CD" w:rsidP="009536CD">
            <w:pPr>
              <w:spacing w:line="320" w:lineRule="exact"/>
              <w:ind w:left="9"/>
              <w:jc w:val="both"/>
              <w:rPr>
                <w:rFonts w:ascii="Times New Roman" w:eastAsia="仿宋_GB2312" w:hAnsi="Times New Roman"/>
                <w:szCs w:val="28"/>
              </w:rPr>
            </w:pPr>
            <w:r w:rsidRPr="009536CD">
              <w:rPr>
                <w:rFonts w:ascii="Times New Roman" w:eastAsia="仿宋_GB2312" w:hAnsi="Times New Roman"/>
                <w:szCs w:val="28"/>
              </w:rPr>
              <w:t>Contiguous development projects are excluded.</w:t>
            </w:r>
          </w:p>
        </w:tc>
        <w:tc>
          <w:tcPr>
            <w:tcW w:w="1710" w:type="pct"/>
            <w:vAlign w:val="center"/>
          </w:tcPr>
          <w:p w14:paraId="0B6B9F1F" w14:textId="77777777" w:rsidR="009536CD" w:rsidRPr="009536CD" w:rsidRDefault="009536CD" w:rsidP="009536CD">
            <w:pPr>
              <w:spacing w:line="320" w:lineRule="exact"/>
              <w:ind w:left="9"/>
              <w:jc w:val="both"/>
              <w:rPr>
                <w:rFonts w:ascii="Times New Roman" w:eastAsia="仿宋_GB2312" w:hAnsi="Times New Roman"/>
                <w:szCs w:val="28"/>
              </w:rPr>
            </w:pPr>
            <w:r w:rsidRPr="009536CD">
              <w:rPr>
                <w:rFonts w:ascii="Times New Roman" w:eastAsia="仿宋_GB2312" w:hAnsi="Times New Roman"/>
                <w:szCs w:val="28"/>
              </w:rPr>
              <w:t>Above-ground floor area no larger than 10,000m</w:t>
            </w:r>
            <w:r w:rsidRPr="009536CD">
              <w:rPr>
                <w:rFonts w:ascii="Times New Roman" w:eastAsia="仿宋_GB2312" w:hAnsi="Times New Roman"/>
                <w:szCs w:val="28"/>
                <w:vertAlign w:val="superscript"/>
              </w:rPr>
              <w:t>2</w:t>
            </w:r>
            <w:r w:rsidRPr="009536CD">
              <w:rPr>
                <w:rFonts w:ascii="Times New Roman" w:eastAsia="仿宋_GB2312" w:hAnsi="Times New Roman"/>
                <w:szCs w:val="28"/>
              </w:rPr>
              <w:t xml:space="preserve"> and building height no more than 24m.</w:t>
            </w:r>
          </w:p>
        </w:tc>
        <w:tc>
          <w:tcPr>
            <w:tcW w:w="1468" w:type="pct"/>
            <w:vAlign w:val="center"/>
          </w:tcPr>
          <w:p w14:paraId="3AC42507" w14:textId="77777777" w:rsidR="009536CD" w:rsidRPr="009536CD" w:rsidRDefault="009536CD" w:rsidP="009536CD">
            <w:pPr>
              <w:spacing w:line="320" w:lineRule="exact"/>
              <w:ind w:left="9"/>
              <w:jc w:val="both"/>
              <w:rPr>
                <w:rFonts w:ascii="Times New Roman" w:eastAsia="仿宋_GB2312" w:hAnsi="Times New Roman"/>
                <w:szCs w:val="28"/>
              </w:rPr>
            </w:pPr>
            <w:r w:rsidRPr="009536CD">
              <w:rPr>
                <w:rFonts w:ascii="Times New Roman" w:eastAsia="仿宋_GB2312" w:hAnsi="Times New Roman"/>
                <w:szCs w:val="28"/>
              </w:rPr>
              <w:t>Located in the planned area for urban and rural construction, with sound municipal pipelines whose access requires no destruction to urban main roads or expressways; no need to occupy forest land and the protection range of ancient and famous trees or to cut down and relocate trees; not adjacent to Chang’an Avenue and its extension line, central axis and its extension line; not located within the capital function core zone; not located within the scope of cultural relics protection site, the construction-</w:t>
            </w:r>
            <w:r w:rsidRPr="009536CD">
              <w:rPr>
                <w:rFonts w:ascii="Times New Roman" w:eastAsia="仿宋_GB2312" w:hAnsi="Times New Roman"/>
                <w:szCs w:val="28"/>
              </w:rPr>
              <w:lastRenderedPageBreak/>
              <w:t xml:space="preserve">restricted zone, the area of underground archaeological remains, or the environmentally sensitive areas determined by the </w:t>
            </w:r>
            <w:r w:rsidRPr="009536CD">
              <w:rPr>
                <w:rFonts w:ascii="Times New Roman" w:eastAsia="仿宋_GB2312" w:hAnsi="Times New Roman"/>
                <w:i/>
                <w:iCs/>
                <w:szCs w:val="28"/>
              </w:rPr>
              <w:t>Classified Management Catalogue of Environmental Impact Assessment of Construction Projects</w:t>
            </w:r>
            <w:r w:rsidRPr="009536CD">
              <w:rPr>
                <w:rFonts w:ascii="Times New Roman" w:eastAsia="仿宋_GB2312" w:hAnsi="Times New Roman"/>
                <w:szCs w:val="28"/>
              </w:rPr>
              <w:t>, and not located within the security control area of confidential organizations and subway.</w:t>
            </w:r>
          </w:p>
        </w:tc>
      </w:tr>
    </w:tbl>
    <w:p w14:paraId="37A895AC" w14:textId="77777777" w:rsidR="00C03D0B" w:rsidRPr="009536CD" w:rsidRDefault="00C03D0B">
      <w:pPr>
        <w:ind w:firstLine="560"/>
      </w:pPr>
    </w:p>
    <w:sectPr w:rsidR="00C03D0B" w:rsidRPr="009536CD" w:rsidSect="009536CD">
      <w:headerReference w:type="even" r:id="rId7"/>
      <w:headerReference w:type="default" r:id="rId8"/>
      <w:footerReference w:type="even" r:id="rId9"/>
      <w:footerReference w:type="default" r:id="rId10"/>
      <w:headerReference w:type="first" r:id="rId11"/>
      <w:footerReference w:type="first" r:id="rId12"/>
      <w:pgSz w:w="16838" w:h="11906" w:orient="landscape"/>
      <w:pgMar w:top="1588" w:right="2098" w:bottom="1474" w:left="1985"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5D5F" w14:textId="77777777" w:rsidR="00ED34D0" w:rsidRDefault="00ED34D0" w:rsidP="009536CD">
      <w:pPr>
        <w:spacing w:line="240" w:lineRule="auto"/>
        <w:ind w:firstLine="560"/>
      </w:pPr>
      <w:r>
        <w:separator/>
      </w:r>
    </w:p>
  </w:endnote>
  <w:endnote w:type="continuationSeparator" w:id="0">
    <w:p w14:paraId="7256E27E" w14:textId="77777777" w:rsidR="00ED34D0" w:rsidRDefault="00ED34D0" w:rsidP="009536C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altName w:val="微软雅黑"/>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9B58" w14:textId="77777777" w:rsidR="009536CD" w:rsidRDefault="009536C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7E00" w14:textId="77777777" w:rsidR="009536CD" w:rsidRDefault="009536C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9C96" w14:textId="77777777" w:rsidR="009536CD" w:rsidRDefault="009536C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89C5" w14:textId="77777777" w:rsidR="00ED34D0" w:rsidRDefault="00ED34D0" w:rsidP="009536CD">
      <w:pPr>
        <w:spacing w:line="240" w:lineRule="auto"/>
        <w:ind w:firstLine="560"/>
      </w:pPr>
      <w:r>
        <w:separator/>
      </w:r>
    </w:p>
  </w:footnote>
  <w:footnote w:type="continuationSeparator" w:id="0">
    <w:p w14:paraId="6B7FA6F6" w14:textId="77777777" w:rsidR="00ED34D0" w:rsidRDefault="00ED34D0" w:rsidP="009536CD">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A305" w14:textId="77777777" w:rsidR="009536CD" w:rsidRDefault="009536CD">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8555" w14:textId="77777777" w:rsidR="009536CD" w:rsidRDefault="009536CD" w:rsidP="009536CD">
    <w:pPr>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07EC" w14:textId="77777777" w:rsidR="009536CD" w:rsidRDefault="009536C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95"/>
    <w:rsid w:val="000D6C92"/>
    <w:rsid w:val="001F4C88"/>
    <w:rsid w:val="002D4047"/>
    <w:rsid w:val="00755ADE"/>
    <w:rsid w:val="00820895"/>
    <w:rsid w:val="009536CD"/>
    <w:rsid w:val="009A058B"/>
    <w:rsid w:val="00AF1D32"/>
    <w:rsid w:val="00C03D0B"/>
    <w:rsid w:val="00C33B12"/>
    <w:rsid w:val="00ED34D0"/>
    <w:rsid w:val="00FF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9F665"/>
  <w15:chartTrackingRefBased/>
  <w15:docId w15:val="{E14F14F2-40A2-4138-9418-916C1277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宋体" w:hAnsi="等线" w:cs="Times New Roman"/>
        <w:kern w:val="2"/>
        <w:sz w:val="28"/>
        <w:szCs w:val="18"/>
        <w:lang w:val="en-US" w:eastAsia="zh-CN" w:bidi="ar-SA"/>
      </w:rPr>
    </w:rPrDefault>
    <w:pPrDefault>
      <w:pPr>
        <w:spacing w:line="560" w:lineRule="exact"/>
        <w:ind w:firstLineChars="200" w:firstLine="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F1D32"/>
    <w:pPr>
      <w:keepNext/>
      <w:keepLines/>
      <w:jc w:val="both"/>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1D32"/>
    <w:rPr>
      <w:rFonts w:eastAsia="黑体"/>
      <w:bCs/>
      <w:kern w:val="44"/>
      <w:sz w:val="32"/>
      <w:szCs w:val="44"/>
    </w:rPr>
  </w:style>
  <w:style w:type="paragraph" w:styleId="a3">
    <w:name w:val="header"/>
    <w:basedOn w:val="a"/>
    <w:link w:val="a4"/>
    <w:uiPriority w:val="99"/>
    <w:unhideWhenUsed/>
    <w:rsid w:val="009536CD"/>
    <w:pPr>
      <w:pBdr>
        <w:bottom w:val="single" w:sz="6" w:space="1" w:color="auto"/>
      </w:pBdr>
      <w:tabs>
        <w:tab w:val="center" w:pos="4153"/>
        <w:tab w:val="right" w:pos="8306"/>
      </w:tabs>
      <w:snapToGrid w:val="0"/>
      <w:spacing w:line="240" w:lineRule="atLeast"/>
    </w:pPr>
    <w:rPr>
      <w:sz w:val="18"/>
    </w:rPr>
  </w:style>
  <w:style w:type="character" w:customStyle="1" w:styleId="a4">
    <w:name w:val="页眉 字符"/>
    <w:basedOn w:val="a0"/>
    <w:link w:val="a3"/>
    <w:uiPriority w:val="99"/>
    <w:rsid w:val="009536CD"/>
    <w:rPr>
      <w:sz w:val="18"/>
    </w:rPr>
  </w:style>
  <w:style w:type="paragraph" w:styleId="a5">
    <w:name w:val="footer"/>
    <w:basedOn w:val="a"/>
    <w:link w:val="a6"/>
    <w:uiPriority w:val="99"/>
    <w:unhideWhenUsed/>
    <w:rsid w:val="009536CD"/>
    <w:pPr>
      <w:tabs>
        <w:tab w:val="center" w:pos="4153"/>
        <w:tab w:val="right" w:pos="8306"/>
      </w:tabs>
      <w:snapToGrid w:val="0"/>
      <w:spacing w:line="240" w:lineRule="atLeast"/>
      <w:jc w:val="left"/>
    </w:pPr>
    <w:rPr>
      <w:sz w:val="18"/>
    </w:rPr>
  </w:style>
  <w:style w:type="character" w:customStyle="1" w:styleId="a6">
    <w:name w:val="页脚 字符"/>
    <w:basedOn w:val="a0"/>
    <w:link w:val="a5"/>
    <w:uiPriority w:val="99"/>
    <w:rsid w:val="009536CD"/>
    <w:rPr>
      <w:sz w:val="18"/>
    </w:rPr>
  </w:style>
  <w:style w:type="table" w:customStyle="1" w:styleId="TableNormal1">
    <w:name w:val="Table Normal1"/>
    <w:uiPriority w:val="2"/>
    <w:semiHidden/>
    <w:unhideWhenUsed/>
    <w:qFormat/>
    <w:rsid w:val="009536CD"/>
    <w:pPr>
      <w:widowControl w:val="0"/>
      <w:spacing w:line="240" w:lineRule="auto"/>
      <w:ind w:firstLineChars="0" w:firstLine="0"/>
      <w:jc w:val="left"/>
    </w:pPr>
    <w:rPr>
      <w:rFonts w:ascii="Calibri" w:hAnsi="Calibri"/>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7C1C-910A-4098-8E82-983B43BC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富达 李</dc:creator>
  <cp:keywords/>
  <dc:description/>
  <cp:lastModifiedBy>富达 李</cp:lastModifiedBy>
  <cp:revision>28</cp:revision>
  <dcterms:created xsi:type="dcterms:W3CDTF">2020-04-26T07:10:00Z</dcterms:created>
  <dcterms:modified xsi:type="dcterms:W3CDTF">2020-04-26T07:11:00Z</dcterms:modified>
</cp:coreProperties>
</file>